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0A08FA">
      <w:pPr>
        <w:jc w:val="center"/>
        <w:rPr>
          <w:rFonts w:hint="default" w:ascii="Times New Roman" w:hAnsi="Times New Roman" w:eastAsia="仿宋_GB2312"/>
          <w:color w:val="000000" w:themeColor="text1"/>
          <w:sz w:val="36"/>
          <w:szCs w:val="36"/>
          <w:highlight w:val="none"/>
          <w:lang w:val="en-US" w:eastAsia="zh-CN"/>
          <w14:textFill>
            <w14:solidFill>
              <w14:schemeClr w14:val="tx1"/>
            </w14:solidFill>
          </w14:textFill>
        </w:rPr>
      </w:pPr>
      <w:bookmarkStart w:id="0" w:name="_Hlk57883707"/>
      <w:bookmarkStart w:id="23" w:name="_GoBack"/>
      <w:bookmarkEnd w:id="23"/>
    </w:p>
    <w:p w14:paraId="4D56DE38">
      <w:pPr>
        <w:rPr>
          <w:rFonts w:ascii="Times New Roman" w:hAnsi="Times New Roman" w:eastAsia="仿宋_GB2312"/>
          <w:color w:val="000000" w:themeColor="text1"/>
          <w:sz w:val="36"/>
          <w:szCs w:val="36"/>
          <w:highlight w:val="none"/>
          <w14:textFill>
            <w14:solidFill>
              <w14:schemeClr w14:val="tx1"/>
            </w14:solidFill>
          </w14:textFill>
        </w:rPr>
      </w:pPr>
    </w:p>
    <w:bookmarkEnd w:id="0"/>
    <w:p w14:paraId="1C309C7F">
      <w:pPr>
        <w:adjustRightInd w:val="0"/>
        <w:snapToGrid w:val="0"/>
        <w:jc w:val="center"/>
        <w:outlineLvl w:val="0"/>
        <w:rPr>
          <w:rFonts w:ascii="Times New Roman" w:hAnsi="Times New Roman" w:eastAsia="方正小标宋_GBK"/>
          <w:bCs/>
          <w:color w:val="000000" w:themeColor="text1"/>
          <w:sz w:val="72"/>
          <w:szCs w:val="72"/>
          <w:highlight w:val="none"/>
          <w14:textFill>
            <w14:solidFill>
              <w14:schemeClr w14:val="tx1"/>
            </w14:solidFill>
          </w14:textFill>
        </w:rPr>
      </w:pPr>
      <w:r>
        <w:rPr>
          <w:rFonts w:ascii="Times New Roman" w:hAnsi="Times New Roman" w:eastAsia="方正小标宋_GBK"/>
          <w:bCs/>
          <w:color w:val="000000" w:themeColor="text1"/>
          <w:sz w:val="72"/>
          <w:szCs w:val="72"/>
          <w:highlight w:val="none"/>
          <w14:textFill>
            <w14:solidFill>
              <w14:schemeClr w14:val="tx1"/>
            </w14:solidFill>
          </w14:textFill>
        </w:rPr>
        <w:t>建设项目环境影响报告表</w:t>
      </w:r>
    </w:p>
    <w:p w14:paraId="56B02B8F">
      <w:pPr>
        <w:adjustRightInd w:val="0"/>
        <w:snapToGrid w:val="0"/>
        <w:spacing w:before="249" w:beforeLines="80"/>
        <w:jc w:val="center"/>
        <w:rPr>
          <w:rFonts w:ascii="Times New Roman" w:hAnsi="Times New Roman" w:eastAsia="楷体_GB2312"/>
          <w:bCs/>
          <w:color w:val="000000" w:themeColor="text1"/>
          <w:sz w:val="48"/>
          <w:szCs w:val="48"/>
          <w:highlight w:val="none"/>
          <w14:textFill>
            <w14:solidFill>
              <w14:schemeClr w14:val="tx1"/>
            </w14:solidFill>
          </w14:textFill>
        </w:rPr>
      </w:pPr>
      <w:r>
        <w:rPr>
          <w:rFonts w:hint="eastAsia" w:ascii="Times New Roman" w:hAnsi="Times New Roman" w:eastAsia="楷体_GB2312"/>
          <w:bCs/>
          <w:color w:val="000000" w:themeColor="text1"/>
          <w:sz w:val="48"/>
          <w:szCs w:val="48"/>
          <w:highlight w:val="none"/>
          <w14:textFill>
            <w14:solidFill>
              <w14:schemeClr w14:val="tx1"/>
            </w14:solidFill>
          </w14:textFill>
        </w:rPr>
        <w:t>（污染影响类）</w:t>
      </w:r>
    </w:p>
    <w:p w14:paraId="16DE0522">
      <w:pPr>
        <w:adjustRightInd w:val="0"/>
        <w:snapToGrid w:val="0"/>
        <w:spacing w:before="249" w:beforeLines="80"/>
        <w:jc w:val="center"/>
        <w:rPr>
          <w:rFonts w:ascii="Times New Roman" w:hAnsi="Times New Roman" w:eastAsia="楷体_GB2312"/>
          <w:bCs/>
          <w:color w:val="000000" w:themeColor="text1"/>
          <w:sz w:val="44"/>
          <w:szCs w:val="48"/>
          <w:highlight w:val="none"/>
          <w14:textFill>
            <w14:solidFill>
              <w14:schemeClr w14:val="tx1"/>
            </w14:solidFill>
          </w14:textFill>
        </w:rPr>
      </w:pPr>
      <w:r>
        <w:rPr>
          <w:rFonts w:ascii="Times New Roman" w:hAnsi="Times New Roman" w:eastAsia="楷体_GB2312"/>
          <w:bCs/>
          <w:color w:val="000000" w:themeColor="text1"/>
          <w:sz w:val="44"/>
          <w:szCs w:val="48"/>
          <w:highlight w:val="none"/>
          <w14:textFill>
            <w14:solidFill>
              <w14:schemeClr w14:val="tx1"/>
            </w14:solidFill>
          </w14:textFill>
        </w:rPr>
        <w:t>（</w:t>
      </w:r>
      <w:r>
        <w:rPr>
          <w:rFonts w:hint="eastAsia" w:ascii="Times New Roman" w:hAnsi="Times New Roman" w:eastAsia="楷体_GB2312"/>
          <w:bCs/>
          <w:color w:val="000000" w:themeColor="text1"/>
          <w:sz w:val="44"/>
          <w:szCs w:val="48"/>
          <w:highlight w:val="none"/>
          <w:lang w:eastAsia="zh-CN"/>
          <w14:textFill>
            <w14:solidFill>
              <w14:schemeClr w14:val="tx1"/>
            </w14:solidFill>
          </w14:textFill>
        </w:rPr>
        <w:t>送审</w:t>
      </w:r>
      <w:r>
        <w:rPr>
          <w:rFonts w:hint="eastAsia" w:ascii="Times New Roman" w:hAnsi="Times New Roman" w:eastAsia="楷体_GB2312"/>
          <w:bCs/>
          <w:color w:val="000000" w:themeColor="text1"/>
          <w:sz w:val="44"/>
          <w:szCs w:val="48"/>
          <w:highlight w:val="none"/>
          <w14:textFill>
            <w14:solidFill>
              <w14:schemeClr w14:val="tx1"/>
            </w14:solidFill>
          </w14:textFill>
        </w:rPr>
        <w:t>本</w:t>
      </w:r>
      <w:r>
        <w:rPr>
          <w:rFonts w:ascii="Times New Roman" w:hAnsi="Times New Roman" w:eastAsia="楷体_GB2312"/>
          <w:bCs/>
          <w:color w:val="000000" w:themeColor="text1"/>
          <w:sz w:val="44"/>
          <w:szCs w:val="48"/>
          <w:highlight w:val="none"/>
          <w14:textFill>
            <w14:solidFill>
              <w14:schemeClr w14:val="tx1"/>
            </w14:solidFill>
          </w14:textFill>
        </w:rPr>
        <w:t>）</w:t>
      </w:r>
    </w:p>
    <w:p w14:paraId="5A1B9BCA">
      <w:pPr>
        <w:rPr>
          <w:rFonts w:ascii="Times New Roman" w:hAnsi="Times New Roman" w:eastAsia="仿宋_GB2312"/>
          <w:color w:val="000000" w:themeColor="text1"/>
          <w:sz w:val="36"/>
          <w:szCs w:val="36"/>
          <w:highlight w:val="none"/>
          <w14:textFill>
            <w14:solidFill>
              <w14:schemeClr w14:val="tx1"/>
            </w14:solidFill>
          </w14:textFill>
        </w:rPr>
      </w:pPr>
      <w:bookmarkStart w:id="1" w:name="_Hlk57883728"/>
    </w:p>
    <w:p w14:paraId="3D5A6CF9">
      <w:pPr>
        <w:jc w:val="center"/>
        <w:rPr>
          <w:rFonts w:ascii="Times New Roman" w:hAnsi="Times New Roman" w:eastAsia="仿宋_GB2312"/>
          <w:color w:val="000000" w:themeColor="text1"/>
          <w:sz w:val="36"/>
          <w:szCs w:val="36"/>
          <w:highlight w:val="none"/>
          <w14:textFill>
            <w14:solidFill>
              <w14:schemeClr w14:val="tx1"/>
            </w14:solidFill>
          </w14:textFill>
        </w:rPr>
      </w:pPr>
    </w:p>
    <w:p w14:paraId="10FBD2BD">
      <w:pPr>
        <w:jc w:val="center"/>
        <w:rPr>
          <w:rFonts w:ascii="Times New Roman" w:hAnsi="Times New Roman" w:eastAsia="仿宋_GB2312"/>
          <w:color w:val="000000" w:themeColor="text1"/>
          <w:sz w:val="36"/>
          <w:szCs w:val="36"/>
          <w:highlight w:val="none"/>
          <w14:textFill>
            <w14:solidFill>
              <w14:schemeClr w14:val="tx1"/>
            </w14:solidFill>
          </w14:textFill>
        </w:rPr>
      </w:pPr>
    </w:p>
    <w:p w14:paraId="3C65B2C8">
      <w:pPr>
        <w:rPr>
          <w:rFonts w:ascii="Times New Roman" w:hAnsi="Times New Roman" w:eastAsia="仿宋_GB2312"/>
          <w:color w:val="000000" w:themeColor="text1"/>
          <w:sz w:val="36"/>
          <w:szCs w:val="36"/>
          <w:highlight w:val="none"/>
          <w14:textFill>
            <w14:solidFill>
              <w14:schemeClr w14:val="tx1"/>
            </w14:solidFill>
          </w14:textFill>
        </w:rPr>
      </w:pPr>
    </w:p>
    <w:bookmarkEnd w:id="1"/>
    <w:tbl>
      <w:tblPr>
        <w:tblStyle w:val="20"/>
        <w:tblW w:w="8399" w:type="dxa"/>
        <w:jc w:val="center"/>
        <w:tblLayout w:type="autofit"/>
        <w:tblCellMar>
          <w:top w:w="0" w:type="dxa"/>
          <w:left w:w="108" w:type="dxa"/>
          <w:bottom w:w="0" w:type="dxa"/>
          <w:right w:w="108" w:type="dxa"/>
        </w:tblCellMar>
      </w:tblPr>
      <w:tblGrid>
        <w:gridCol w:w="1981"/>
        <w:gridCol w:w="1598"/>
        <w:gridCol w:w="4820"/>
      </w:tblGrid>
      <w:tr w14:paraId="532EDCAC">
        <w:tblPrEx>
          <w:tblCellMar>
            <w:top w:w="0" w:type="dxa"/>
            <w:left w:w="108" w:type="dxa"/>
            <w:bottom w:w="0" w:type="dxa"/>
            <w:right w:w="108" w:type="dxa"/>
          </w:tblCellMar>
        </w:tblPrEx>
        <w:trPr>
          <w:trHeight w:val="567" w:hRule="atLeast"/>
          <w:jc w:val="center"/>
        </w:trPr>
        <w:tc>
          <w:tcPr>
            <w:tcW w:w="1981" w:type="dxa"/>
            <w:shd w:val="clear" w:color="auto" w:fill="auto"/>
            <w:vAlign w:val="bottom"/>
          </w:tcPr>
          <w:p w14:paraId="10128D95">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eastAsia="宋体"/>
                <w:b/>
                <w:bCs/>
                <w:color w:val="000000" w:themeColor="text1"/>
                <w:sz w:val="20"/>
                <w:szCs w:val="20"/>
                <w:highlight w:val="none"/>
                <w14:textFill>
                  <w14:solidFill>
                    <w14:schemeClr w14:val="tx1"/>
                  </w14:solidFill>
                </w14:textFill>
              </w:rPr>
            </w:pPr>
            <w:r>
              <w:rPr>
                <w:rFonts w:ascii="Times New Roman" w:hAnsi="Times New Roman" w:eastAsia="仿宋_GB2312"/>
                <w:b/>
                <w:bCs/>
                <w:color w:val="000000" w:themeColor="text1"/>
                <w:sz w:val="32"/>
                <w:szCs w:val="32"/>
                <w:highlight w:val="none"/>
                <w14:textFill>
                  <w14:solidFill>
                    <w14:schemeClr w14:val="tx1"/>
                  </w14:solidFill>
                </w14:textFill>
              </w:rPr>
              <w:t>项目名称：</w:t>
            </w:r>
          </w:p>
        </w:tc>
        <w:tc>
          <w:tcPr>
            <w:tcW w:w="6418" w:type="dxa"/>
            <w:gridSpan w:val="2"/>
            <w:tcBorders>
              <w:bottom w:val="single" w:color="auto" w:sz="4" w:space="0"/>
            </w:tcBorders>
            <w:shd w:val="clear" w:color="auto" w:fill="auto"/>
            <w:vAlign w:val="bottom"/>
          </w:tcPr>
          <w:p w14:paraId="116D9B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 w:val="20"/>
                <w:szCs w:val="18"/>
                <w:highlight w:val="none"/>
                <w:lang w:eastAsia="zh-CN"/>
                <w14:textFill>
                  <w14:solidFill>
                    <w14:schemeClr w14:val="tx1"/>
                  </w14:solidFill>
                </w14:textFill>
              </w:rPr>
            </w:pPr>
            <w:r>
              <w:rPr>
                <w:rFonts w:hint="eastAsia" w:ascii="Times New Roman" w:hAnsi="Times New Roman" w:eastAsia="仿宋_GB2312"/>
                <w:b/>
                <w:bCs/>
                <w:color w:val="000000" w:themeColor="text1"/>
                <w:sz w:val="32"/>
                <w:szCs w:val="32"/>
                <w:highlight w:val="none"/>
                <w:lang w:eastAsia="zh-CN"/>
                <w14:textFill>
                  <w14:solidFill>
                    <w14:schemeClr w14:val="tx1"/>
                  </w14:solidFill>
                </w14:textFill>
              </w:rPr>
              <w:t>南充至成都高速公路扩容工程LJ5标段4#站</w:t>
            </w:r>
          </w:p>
        </w:tc>
      </w:tr>
      <w:tr w14:paraId="0BB1997E">
        <w:tblPrEx>
          <w:tblCellMar>
            <w:top w:w="0" w:type="dxa"/>
            <w:left w:w="108" w:type="dxa"/>
            <w:bottom w:w="0" w:type="dxa"/>
            <w:right w:w="108" w:type="dxa"/>
          </w:tblCellMar>
        </w:tblPrEx>
        <w:trPr>
          <w:trHeight w:val="567" w:hRule="atLeast"/>
          <w:jc w:val="center"/>
        </w:trPr>
        <w:tc>
          <w:tcPr>
            <w:tcW w:w="3579" w:type="dxa"/>
            <w:gridSpan w:val="2"/>
            <w:shd w:val="clear" w:color="auto" w:fill="auto"/>
            <w:vAlign w:val="bottom"/>
          </w:tcPr>
          <w:p w14:paraId="3B9A26CD">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ascii="Times New Roman" w:hAnsi="Times New Roman" w:eastAsia="仿宋_GB2312"/>
                <w:b/>
                <w:bCs/>
                <w:color w:val="000000" w:themeColor="text1"/>
                <w:sz w:val="32"/>
                <w:szCs w:val="32"/>
                <w:highlight w:val="none"/>
                <w14:textFill>
                  <w14:solidFill>
                    <w14:schemeClr w14:val="tx1"/>
                  </w14:solidFill>
                </w14:textFill>
              </w:rPr>
              <w:t>建设单位（盖章）：</w:t>
            </w:r>
          </w:p>
        </w:tc>
        <w:tc>
          <w:tcPr>
            <w:tcW w:w="4820" w:type="dxa"/>
            <w:tcBorders>
              <w:bottom w:val="single" w:color="auto" w:sz="4" w:space="0"/>
            </w:tcBorders>
            <w:shd w:val="clear" w:color="auto" w:fill="auto"/>
            <w:vAlign w:val="bottom"/>
          </w:tcPr>
          <w:p w14:paraId="6949C1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 w:val="20"/>
                <w:szCs w:val="18"/>
                <w:highlight w:val="none"/>
                <w:lang w:eastAsia="zh-CN"/>
                <w14:textFill>
                  <w14:solidFill>
                    <w14:schemeClr w14:val="tx1"/>
                  </w14:solidFill>
                </w14:textFill>
              </w:rPr>
            </w:pPr>
            <w:r>
              <w:rPr>
                <w:rFonts w:hint="eastAsia" w:ascii="Times New Roman" w:hAnsi="Times New Roman" w:eastAsia="仿宋_GB2312"/>
                <w:b/>
                <w:bCs/>
                <w:color w:val="000000" w:themeColor="text1"/>
                <w:sz w:val="32"/>
                <w:szCs w:val="32"/>
                <w:highlight w:val="none"/>
                <w:lang w:eastAsia="zh-CN"/>
                <w14:textFill>
                  <w14:solidFill>
                    <w14:schemeClr w14:val="tx1"/>
                  </w14:solidFill>
                </w14:textFill>
              </w:rPr>
              <w:t>中交第三航务工程局有限公司</w:t>
            </w:r>
          </w:p>
        </w:tc>
      </w:tr>
      <w:tr w14:paraId="3A0329D8">
        <w:tblPrEx>
          <w:tblCellMar>
            <w:top w:w="0" w:type="dxa"/>
            <w:left w:w="108" w:type="dxa"/>
            <w:bottom w:w="0" w:type="dxa"/>
            <w:right w:w="108" w:type="dxa"/>
          </w:tblCellMar>
        </w:tblPrEx>
        <w:trPr>
          <w:trHeight w:val="567" w:hRule="atLeast"/>
          <w:jc w:val="center"/>
        </w:trPr>
        <w:tc>
          <w:tcPr>
            <w:tcW w:w="1981" w:type="dxa"/>
            <w:shd w:val="clear" w:color="auto" w:fill="auto"/>
            <w:vAlign w:val="bottom"/>
          </w:tcPr>
          <w:p w14:paraId="4A59AE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ascii="Times New Roman" w:hAnsi="Times New Roman" w:eastAsia="仿宋_GB2312"/>
                <w:b/>
                <w:bCs/>
                <w:color w:val="000000" w:themeColor="text1"/>
                <w:sz w:val="32"/>
                <w:szCs w:val="32"/>
                <w:highlight w:val="none"/>
                <w14:textFill>
                  <w14:solidFill>
                    <w14:schemeClr w14:val="tx1"/>
                  </w14:solidFill>
                </w14:textFill>
              </w:rPr>
              <w:t>编制日期：</w:t>
            </w:r>
          </w:p>
        </w:tc>
        <w:tc>
          <w:tcPr>
            <w:tcW w:w="6418" w:type="dxa"/>
            <w:gridSpan w:val="2"/>
            <w:tcBorders>
              <w:bottom w:val="single" w:color="auto" w:sz="4" w:space="0"/>
            </w:tcBorders>
            <w:shd w:val="clear" w:color="auto" w:fill="auto"/>
            <w:vAlign w:val="bottom"/>
          </w:tcPr>
          <w:p w14:paraId="116345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hint="eastAsia" w:ascii="Times New Roman" w:hAnsi="Times New Roman" w:eastAsia="仿宋_GB2312"/>
                <w:b/>
                <w:bCs/>
                <w:color w:val="000000" w:themeColor="text1"/>
                <w:sz w:val="32"/>
                <w:szCs w:val="32"/>
                <w:highlight w:val="none"/>
                <w14:textFill>
                  <w14:solidFill>
                    <w14:schemeClr w14:val="tx1"/>
                  </w14:solidFill>
                </w14:textFill>
              </w:rPr>
              <w:t>二〇二二年</w:t>
            </w:r>
            <w:r>
              <w:rPr>
                <w:rFonts w:hint="eastAsia" w:ascii="Times New Roman" w:hAnsi="Times New Roman" w:eastAsia="仿宋_GB2312"/>
                <w:b/>
                <w:bCs/>
                <w:color w:val="000000" w:themeColor="text1"/>
                <w:sz w:val="32"/>
                <w:szCs w:val="32"/>
                <w:highlight w:val="none"/>
                <w:lang w:eastAsia="zh-CN"/>
                <w14:textFill>
                  <w14:solidFill>
                    <w14:schemeClr w14:val="tx1"/>
                  </w14:solidFill>
                </w14:textFill>
              </w:rPr>
              <w:t>九</w:t>
            </w:r>
            <w:r>
              <w:rPr>
                <w:rFonts w:hint="eastAsia" w:ascii="Times New Roman" w:hAnsi="Times New Roman" w:eastAsia="仿宋_GB2312"/>
                <w:b/>
                <w:bCs/>
                <w:color w:val="000000" w:themeColor="text1"/>
                <w:sz w:val="32"/>
                <w:szCs w:val="32"/>
                <w:highlight w:val="none"/>
                <w14:textFill>
                  <w14:solidFill>
                    <w14:schemeClr w14:val="tx1"/>
                  </w14:solidFill>
                </w14:textFill>
              </w:rPr>
              <w:t>月</w:t>
            </w:r>
          </w:p>
        </w:tc>
      </w:tr>
    </w:tbl>
    <w:p w14:paraId="5FFCF019">
      <w:pPr>
        <w:rPr>
          <w:rFonts w:ascii="Times New Roman" w:hAnsi="Times New Roman" w:eastAsia="仿宋_GB2312"/>
          <w:color w:val="000000" w:themeColor="text1"/>
          <w:sz w:val="36"/>
          <w:szCs w:val="36"/>
          <w:highlight w:val="none"/>
          <w14:textFill>
            <w14:solidFill>
              <w14:schemeClr w14:val="tx1"/>
            </w14:solidFill>
          </w14:textFill>
        </w:rPr>
      </w:pPr>
    </w:p>
    <w:p w14:paraId="5223CE0B">
      <w:pPr>
        <w:rPr>
          <w:rFonts w:ascii="Times New Roman" w:hAnsi="Times New Roman" w:eastAsia="仿宋_GB2312"/>
          <w:color w:val="000000" w:themeColor="text1"/>
          <w:sz w:val="36"/>
          <w:szCs w:val="36"/>
          <w:highlight w:val="none"/>
          <w14:textFill>
            <w14:solidFill>
              <w14:schemeClr w14:val="tx1"/>
            </w14:solidFill>
          </w14:textFill>
        </w:rPr>
      </w:pPr>
    </w:p>
    <w:p w14:paraId="453037C9">
      <w:pPr>
        <w:jc w:val="center"/>
        <w:rPr>
          <w:rFonts w:ascii="Times New Roman" w:hAnsi="Times New Roman" w:eastAsia="仿宋_GB2312"/>
          <w:color w:val="000000" w:themeColor="text1"/>
          <w:sz w:val="36"/>
          <w:szCs w:val="36"/>
          <w:highlight w:val="none"/>
          <w14:textFill>
            <w14:solidFill>
              <w14:schemeClr w14:val="tx1"/>
            </w14:solidFill>
          </w14:textFill>
        </w:rPr>
      </w:pPr>
    </w:p>
    <w:p w14:paraId="362FB0A1">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685B7428">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60AD4393">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3620F884">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0EF28A6C">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r>
        <w:rPr>
          <w:rFonts w:ascii="Times New Roman" w:hAnsi="Times New Roman" w:eastAsia="楷体_GB2312"/>
          <w:color w:val="000000" w:themeColor="text1"/>
          <w:sz w:val="36"/>
          <w:szCs w:val="36"/>
          <w:highlight w:val="none"/>
          <w14:textFill>
            <w14:solidFill>
              <w14:schemeClr w14:val="tx1"/>
            </w14:solidFill>
          </w14:textFill>
        </w:rPr>
        <w:t>中华人民共和国生态环境部制</w:t>
      </w:r>
    </w:p>
    <w:p w14:paraId="7EB1E83E">
      <w:pPr>
        <w:adjustRightInd w:val="0"/>
        <w:snapToGrid w:val="0"/>
        <w:spacing w:line="288" w:lineRule="auto"/>
        <w:jc w:val="center"/>
        <w:rPr>
          <w:rFonts w:ascii="宋体" w:hAnsi="宋体" w:eastAsia="宋体"/>
          <w:b/>
          <w:color w:val="000000" w:themeColor="text1"/>
          <w:highlight w:val="none"/>
          <w14:textFill>
            <w14:solidFill>
              <w14:schemeClr w14:val="tx1"/>
            </w14:solidFill>
          </w14:textFill>
        </w:rPr>
      </w:pPr>
      <w:r>
        <w:rPr>
          <w:rFonts w:ascii="Times New Roman" w:hAnsi="Times New Roman" w:eastAsia="仿宋_GB2312"/>
          <w:color w:val="000000" w:themeColor="text1"/>
          <w:sz w:val="36"/>
          <w:szCs w:val="36"/>
          <w:highlight w:val="none"/>
          <w14:textFill>
            <w14:solidFill>
              <w14:schemeClr w14:val="tx1"/>
            </w14:solidFill>
          </w14:textFill>
        </w:rPr>
        <w:br w:type="page"/>
      </w:r>
      <w:r>
        <w:rPr>
          <w:rFonts w:ascii="宋体" w:hAnsi="宋体" w:eastAsia="宋体"/>
          <w:b/>
          <w:color w:val="000000" w:themeColor="text1"/>
          <w:sz w:val="28"/>
          <w:szCs w:val="21"/>
          <w:highlight w:val="none"/>
          <w14:textFill>
            <w14:solidFill>
              <w14:schemeClr w14:val="tx1"/>
            </w14:solidFill>
          </w14:textFill>
        </w:rPr>
        <w:t>目  录</w:t>
      </w:r>
      <w:r>
        <w:rPr>
          <w:rFonts w:ascii="宋体" w:hAnsi="宋体" w:eastAsia="宋体"/>
          <w:color w:val="000000" w:themeColor="text1"/>
          <w:szCs w:val="21"/>
          <w:highlight w:val="none"/>
          <w14:textFill>
            <w14:solidFill>
              <w14:schemeClr w14:val="tx1"/>
            </w14:solidFill>
          </w14:textFill>
        </w:rPr>
        <w:fldChar w:fldCharType="begin"/>
      </w:r>
      <w:r>
        <w:rPr>
          <w:rFonts w:ascii="宋体" w:hAnsi="宋体" w:eastAsia="宋体"/>
          <w:color w:val="000000" w:themeColor="text1"/>
          <w:szCs w:val="21"/>
          <w:highlight w:val="none"/>
          <w14:textFill>
            <w14:solidFill>
              <w14:schemeClr w14:val="tx1"/>
            </w14:solidFill>
          </w14:textFill>
        </w:rPr>
        <w:instrText xml:space="preserve"> TOC \o "1-1" \h \z \u </w:instrText>
      </w:r>
      <w:r>
        <w:rPr>
          <w:rFonts w:ascii="宋体" w:hAnsi="宋体" w:eastAsia="宋体"/>
          <w:color w:val="000000" w:themeColor="text1"/>
          <w:szCs w:val="21"/>
          <w:highlight w:val="none"/>
          <w14:textFill>
            <w14:solidFill>
              <w14:schemeClr w14:val="tx1"/>
            </w14:solidFill>
          </w14:textFill>
        </w:rPr>
        <w:fldChar w:fldCharType="separate"/>
      </w:r>
    </w:p>
    <w:p w14:paraId="79F3EC9E">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"_Toc80643341"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一、建设项目基本情况</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_Toc80643341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1</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2B635C47">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"_Toc80643342"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二、建设</w:t>
      </w:r>
      <w:r>
        <w:rPr>
          <w:rFonts w:hint="eastAsia" w:ascii="Times New Roman" w:hAnsi="Times New Roman" w:eastAsia="宋体"/>
          <w:color w:val="000000" w:themeColor="text1"/>
          <w:sz w:val="24"/>
          <w:szCs w:val="24"/>
          <w:highlight w:val="none"/>
          <w14:textFill>
            <w14:solidFill>
              <w14:schemeClr w14:val="tx1"/>
            </w14:solidFill>
          </w14:textFill>
        </w:rPr>
        <w:t>项目工程分析</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_Toc80643342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24</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20C1D3A2">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"_Toc80643343"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三、</w:t>
      </w:r>
      <w:r>
        <w:rPr>
          <w:rFonts w:hint="eastAsia" w:ascii="Times New Roman" w:hAnsi="Times New Roman" w:eastAsia="宋体"/>
          <w:color w:val="000000" w:themeColor="text1"/>
          <w:sz w:val="24"/>
          <w:szCs w:val="24"/>
          <w:highlight w:val="none"/>
          <w14:textFill>
            <w14:solidFill>
              <w14:schemeClr w14:val="tx1"/>
            </w14:solidFill>
          </w14:textFill>
        </w:rPr>
        <w:t>区域环境质量</w:t>
      </w:r>
      <w:r>
        <w:rPr>
          <w:rFonts w:ascii="Times New Roman" w:hAnsi="Times New Roman" w:eastAsia="宋体"/>
          <w:color w:val="000000" w:themeColor="text1"/>
          <w:sz w:val="24"/>
          <w:szCs w:val="24"/>
          <w:highlight w:val="none"/>
          <w14:textFill>
            <w14:solidFill>
              <w14:schemeClr w14:val="tx1"/>
            </w14:solidFill>
          </w14:textFill>
        </w:rPr>
        <w:t>现状、</w:t>
      </w:r>
      <w:r>
        <w:rPr>
          <w:rFonts w:hint="eastAsia" w:ascii="Times New Roman" w:hAnsi="Times New Roman" w:eastAsia="宋体"/>
          <w:color w:val="000000" w:themeColor="text1"/>
          <w:sz w:val="24"/>
          <w:szCs w:val="24"/>
          <w:highlight w:val="none"/>
          <w14:textFill>
            <w14:solidFill>
              <w14:schemeClr w14:val="tx1"/>
            </w14:solidFill>
          </w14:textFill>
        </w:rPr>
        <w:t>环境</w:t>
      </w:r>
      <w:r>
        <w:rPr>
          <w:rFonts w:ascii="Times New Roman" w:hAnsi="Times New Roman" w:eastAsia="宋体"/>
          <w:color w:val="000000" w:themeColor="text1"/>
          <w:sz w:val="24"/>
          <w:szCs w:val="24"/>
          <w:highlight w:val="none"/>
          <w14:textFill>
            <w14:solidFill>
              <w14:schemeClr w14:val="tx1"/>
            </w14:solidFill>
          </w14:textFill>
        </w:rPr>
        <w:t>保护目标及评价标准</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_Toc80643343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48</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541F6F6F">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"_Toc80643344"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四、</w:t>
      </w:r>
      <w:r>
        <w:rPr>
          <w:rFonts w:hint="eastAsia" w:ascii="Times New Roman" w:hAnsi="Times New Roman" w:eastAsia="宋体"/>
          <w:color w:val="000000" w:themeColor="text1"/>
          <w:sz w:val="24"/>
          <w:szCs w:val="24"/>
          <w:highlight w:val="none"/>
          <w14:textFill>
            <w14:solidFill>
              <w14:schemeClr w14:val="tx1"/>
            </w14:solidFill>
          </w14:textFill>
        </w:rPr>
        <w:t>主要环境影响和保护措施</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_Toc80643344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56</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07D10B27">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"_Toc80643345"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五、</w:t>
      </w:r>
      <w:r>
        <w:rPr>
          <w:rFonts w:hint="eastAsia" w:ascii="Times New Roman" w:hAnsi="Times New Roman" w:eastAsia="宋体"/>
          <w:color w:val="000000" w:themeColor="text1"/>
          <w:sz w:val="24"/>
          <w:szCs w:val="24"/>
          <w:highlight w:val="none"/>
          <w14:textFill>
            <w14:solidFill>
              <w14:schemeClr w14:val="tx1"/>
            </w14:solidFill>
          </w14:textFill>
        </w:rPr>
        <w:t>环境保护措施监督检查清单</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_Toc80643345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94</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6002EED6">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"_Toc80643347" </w:instrText>
      </w:r>
      <w:r>
        <w:rPr>
          <w:color w:val="000000" w:themeColor="text1"/>
          <w:highlight w:val="none"/>
          <w14:textFill>
            <w14:solidFill>
              <w14:schemeClr w14:val="tx1"/>
            </w14:solidFill>
          </w14:textFill>
        </w:rPr>
        <w:fldChar w:fldCharType="separate"/>
      </w:r>
      <w:r>
        <w:rPr>
          <w:rFonts w:hint="eastAsia" w:ascii="Times New Roman" w:hAnsi="Times New Roman" w:eastAsia="宋体"/>
          <w:color w:val="000000" w:themeColor="text1"/>
          <w:sz w:val="24"/>
          <w:szCs w:val="24"/>
          <w:highlight w:val="none"/>
          <w14:textFill>
            <w14:solidFill>
              <w14:schemeClr w14:val="tx1"/>
            </w14:solidFill>
          </w14:textFill>
        </w:rPr>
        <w:t>六</w:t>
      </w:r>
      <w:r>
        <w:rPr>
          <w:rFonts w:ascii="Times New Roman" w:hAnsi="Times New Roman" w:eastAsia="宋体"/>
          <w:color w:val="000000" w:themeColor="text1"/>
          <w:sz w:val="24"/>
          <w:szCs w:val="24"/>
          <w:highlight w:val="none"/>
          <w14:textFill>
            <w14:solidFill>
              <w14:schemeClr w14:val="tx1"/>
            </w14:solidFill>
          </w14:textFill>
        </w:rPr>
        <w:t>、结论</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_Toc80643347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99</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36A284A3">
      <w:pPr>
        <w:tabs>
          <w:tab w:val="right" w:leader="dot" w:pos="8834"/>
        </w:tabs>
        <w:spacing w:line="500" w:lineRule="exact"/>
        <w:jc w:val="left"/>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fldChar w:fldCharType="end"/>
      </w:r>
    </w:p>
    <w:p w14:paraId="623FFFA2">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附图：</w:t>
      </w:r>
    </w:p>
    <w:p w14:paraId="4AE64843">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附图1 项目地理位置图</w:t>
      </w:r>
    </w:p>
    <w:p w14:paraId="174DBE6D">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14:textFill>
            <w14:solidFill>
              <w14:schemeClr w14:val="tx1"/>
            </w14:solidFill>
          </w14:textFill>
        </w:rPr>
        <w:t xml:space="preserve"> 项目厂界外500m范围内敏感保护目标分布图</w:t>
      </w:r>
    </w:p>
    <w:p w14:paraId="5470CE6B">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w:t>
      </w:r>
      <w:r>
        <w:rPr>
          <w:rFonts w:hint="eastAsia" w:ascii="Times New Roman" w:hAnsi="Times New Roman" w:eastAsia="宋体"/>
          <w:color w:val="000000" w:themeColor="text1"/>
          <w:sz w:val="24"/>
          <w:szCs w:val="24"/>
          <w:highlight w:val="none"/>
          <w14:textFill>
            <w14:solidFill>
              <w14:schemeClr w14:val="tx1"/>
            </w14:solidFill>
          </w14:textFill>
        </w:rPr>
        <w:t xml:space="preserve"> 项目总平面布置图</w:t>
      </w:r>
    </w:p>
    <w:p w14:paraId="4A50BE9C">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w:t>
      </w:r>
      <w:r>
        <w:rPr>
          <w:rFonts w:hint="eastAsia" w:ascii="Times New Roman" w:hAnsi="Times New Roman" w:eastAsia="宋体"/>
          <w:color w:val="000000" w:themeColor="text1"/>
          <w:sz w:val="24"/>
          <w:szCs w:val="24"/>
          <w:highlight w:val="none"/>
          <w14:textFill>
            <w14:solidFill>
              <w14:schemeClr w14:val="tx1"/>
            </w14:solidFill>
          </w14:textFill>
        </w:rPr>
        <w:t>项目分区防渗图</w:t>
      </w:r>
    </w:p>
    <w:p w14:paraId="6781D92E">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附图5.1 遂宁市生态保护红线图</w:t>
      </w:r>
    </w:p>
    <w:p w14:paraId="461FCD33">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附图5.2 遂宁市环境管控单元图</w:t>
      </w:r>
    </w:p>
    <w:p w14:paraId="56E12644">
      <w:pPr>
        <w:tabs>
          <w:tab w:val="right" w:leader="dot" w:pos="8834"/>
        </w:tabs>
        <w:spacing w:line="500" w:lineRule="exact"/>
        <w:jc w:val="left"/>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附图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6</w:t>
      </w:r>
      <w:r>
        <w:rPr>
          <w:rFonts w:hint="eastAsia" w:ascii="Times New Roman" w:hAnsi="Times New Roman" w:eastAsia="宋体"/>
          <w:color w:val="000000" w:themeColor="text1"/>
          <w:sz w:val="24"/>
          <w:szCs w:val="24"/>
          <w:highlight w:val="none"/>
          <w:lang w:eastAsia="zh-CN"/>
          <w14:textFill>
            <w14:solidFill>
              <w14:schemeClr w14:val="tx1"/>
            </w14:solidFill>
          </w14:textFill>
        </w:rPr>
        <w:t xml:space="preserve"> 项目环境质量现状监测点位布置图</w:t>
      </w:r>
    </w:p>
    <w:p w14:paraId="1BD12EA5">
      <w:pPr>
        <w:tabs>
          <w:tab w:val="right" w:leader="dot" w:pos="8834"/>
        </w:tabs>
        <w:spacing w:line="500" w:lineRule="exact"/>
        <w:jc w:val="left"/>
        <w:rPr>
          <w:rFonts w:hint="eastAsia" w:ascii="Times New Roman" w:hAnsi="Times New Roman" w:eastAsia="宋体"/>
          <w:b/>
          <w:bCs/>
          <w:color w:val="000000" w:themeColor="text1"/>
          <w:sz w:val="24"/>
          <w:szCs w:val="24"/>
          <w:highlight w:val="none"/>
          <w14:textFill>
            <w14:solidFill>
              <w14:schemeClr w14:val="tx1"/>
            </w14:solidFill>
          </w14:textFill>
        </w:rPr>
      </w:pPr>
    </w:p>
    <w:p w14:paraId="79130413">
      <w:pPr>
        <w:tabs>
          <w:tab w:val="right" w:leader="dot" w:pos="8834"/>
        </w:tabs>
        <w:spacing w:line="500" w:lineRule="exact"/>
        <w:jc w:val="left"/>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附件：</w:t>
      </w:r>
    </w:p>
    <w:p w14:paraId="1B1698D2">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 xml:space="preserve">附件1 </w:t>
      </w:r>
      <w:r>
        <w:rPr>
          <w:rFonts w:hint="eastAsia" w:ascii="Times New Roman" w:hAnsi="Times New Roman" w:eastAsia="宋体"/>
          <w:color w:val="000000" w:themeColor="text1"/>
          <w:sz w:val="24"/>
          <w:szCs w:val="24"/>
          <w:highlight w:val="none"/>
          <w14:textFill>
            <w14:solidFill>
              <w14:schemeClr w14:val="tx1"/>
            </w14:solidFill>
          </w14:textFill>
        </w:rPr>
        <w:t>环评</w:t>
      </w:r>
      <w:r>
        <w:rPr>
          <w:rFonts w:ascii="Times New Roman" w:hAnsi="Times New Roman" w:eastAsia="宋体"/>
          <w:color w:val="000000" w:themeColor="text1"/>
          <w:sz w:val="24"/>
          <w:szCs w:val="24"/>
          <w:highlight w:val="none"/>
          <w14:textFill>
            <w14:solidFill>
              <w14:schemeClr w14:val="tx1"/>
            </w14:solidFill>
          </w14:textFill>
        </w:rPr>
        <w:t>委托书</w:t>
      </w:r>
    </w:p>
    <w:p w14:paraId="56CA078B">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 xml:space="preserve">附件2 </w:t>
      </w:r>
      <w:r>
        <w:rPr>
          <w:rFonts w:hint="eastAsia" w:ascii="Times New Roman" w:hAnsi="Times New Roman" w:eastAsia="宋体"/>
          <w:color w:val="000000" w:themeColor="text1"/>
          <w:sz w:val="24"/>
          <w:szCs w:val="24"/>
          <w:highlight w:val="none"/>
          <w:lang w:eastAsia="zh-CN"/>
          <w14:textFill>
            <w14:solidFill>
              <w14:schemeClr w14:val="tx1"/>
            </w14:solidFill>
          </w14:textFill>
        </w:rPr>
        <w:t>备案文件</w:t>
      </w:r>
    </w:p>
    <w:p w14:paraId="26329B82">
      <w:pPr>
        <w:tabs>
          <w:tab w:val="right" w:leader="dot" w:pos="8834"/>
        </w:tabs>
        <w:spacing w:line="500" w:lineRule="exact"/>
        <w:jc w:val="left"/>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附件3</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 xml:space="preserve"> 营业执照</w:t>
      </w:r>
    </w:p>
    <w:p w14:paraId="728D97A5">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w:t>
      </w:r>
      <w:r>
        <w:rPr>
          <w:rFonts w:ascii="Times New Roman" w:hAnsi="Times New Roman" w:eastAsia="宋体"/>
          <w:color w:val="000000" w:themeColor="text1"/>
          <w:sz w:val="24"/>
          <w:szCs w:val="24"/>
          <w:highlight w:val="none"/>
          <w14:textFill>
            <w14:solidFill>
              <w14:schemeClr w14:val="tx1"/>
            </w14:solidFill>
          </w14:textFill>
        </w:rPr>
        <w:t xml:space="preserve"> </w:t>
      </w:r>
      <w:r>
        <w:rPr>
          <w:rFonts w:hint="eastAsia" w:ascii="Times New Roman" w:hAnsi="Times New Roman" w:eastAsia="宋体"/>
          <w:color w:val="000000" w:themeColor="text1"/>
          <w:sz w:val="24"/>
          <w:szCs w:val="24"/>
          <w:highlight w:val="none"/>
          <w:lang w:eastAsia="zh-CN"/>
          <w14:textFill>
            <w14:solidFill>
              <w14:schemeClr w14:val="tx1"/>
            </w14:solidFill>
          </w14:textFill>
        </w:rPr>
        <w:t>环境质量现状监测报告</w:t>
      </w:r>
    </w:p>
    <w:p w14:paraId="17D11F36">
      <w:pPr>
        <w:tabs>
          <w:tab w:val="right" w:leader="dot" w:pos="8834"/>
        </w:tabs>
        <w:spacing w:line="500" w:lineRule="exact"/>
        <w:jc w:val="left"/>
        <w:rPr>
          <w:rFonts w:hint="default" w:ascii="Times New Roman" w:hAnsi="Times New Roman" w:eastAsia="宋体"/>
          <w:color w:val="000000" w:themeColor="text1"/>
          <w:sz w:val="24"/>
          <w:szCs w:val="24"/>
          <w:highlight w:val="none"/>
          <w:lang w:val="en-US"/>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5-1</w:t>
      </w:r>
      <w:r>
        <w:rPr>
          <w:rFonts w:ascii="Times New Roman" w:hAnsi="Times New Roman" w:eastAsia="宋体"/>
          <w:color w:val="000000" w:themeColor="text1"/>
          <w:sz w:val="24"/>
          <w:szCs w:val="24"/>
          <w:highlight w:val="none"/>
          <w14:textFill>
            <w14:solidFill>
              <w14:schemeClr w14:val="tx1"/>
            </w14:solidFill>
          </w14:textFill>
        </w:rPr>
        <w:t xml:space="preserve"> </w:t>
      </w:r>
      <w:r>
        <w:rPr>
          <w:rFonts w:hint="eastAsia" w:ascii="Times New Roman" w:hAnsi="Times New Roman" w:eastAsia="宋体"/>
          <w:color w:val="000000" w:themeColor="text1"/>
          <w:sz w:val="24"/>
          <w:szCs w:val="24"/>
          <w:highlight w:val="none"/>
          <w14:textFill>
            <w14:solidFill>
              <w14:schemeClr w14:val="tx1"/>
            </w14:solidFill>
          </w14:textFill>
        </w:rPr>
        <w:t>土地</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租赁协议</w:t>
      </w:r>
    </w:p>
    <w:p w14:paraId="59553E13">
      <w:pPr>
        <w:tabs>
          <w:tab w:val="right" w:leader="dot" w:pos="8834"/>
        </w:tabs>
        <w:spacing w:line="500" w:lineRule="exact"/>
        <w:jc w:val="left"/>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附件5-2 临时用地许可证</w:t>
      </w:r>
    </w:p>
    <w:p w14:paraId="507C303E">
      <w:pPr>
        <w:tabs>
          <w:tab w:val="right" w:leader="dot" w:pos="8834"/>
        </w:tabs>
        <w:spacing w:line="500" w:lineRule="exact"/>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 xml:space="preserve">6 </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四川省生态环境厅《关于G42线南充至成都高速公路扩容工程环境影响报告书的批复》（川环审批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29号）</w:t>
      </w:r>
    </w:p>
    <w:p w14:paraId="038B270B">
      <w:pPr>
        <w:tabs>
          <w:tab w:val="right" w:leader="dot" w:pos="8834"/>
        </w:tabs>
        <w:spacing w:line="500" w:lineRule="exact"/>
        <w:jc w:val="left"/>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附件7 生活污水清运协议</w:t>
      </w:r>
    </w:p>
    <w:p w14:paraId="764681DB">
      <w:pPr>
        <w:tabs>
          <w:tab w:val="right" w:leader="dot" w:pos="8834"/>
        </w:tabs>
        <w:spacing w:line="500" w:lineRule="exact"/>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附件8 焊材检测报告</w:t>
      </w:r>
    </w:p>
    <w:p w14:paraId="00B6B2B5">
      <w:pPr>
        <w:tabs>
          <w:tab w:val="right" w:leader="dot" w:pos="8834"/>
        </w:tabs>
        <w:spacing w:line="500" w:lineRule="exact"/>
        <w:jc w:val="left"/>
        <w:rPr>
          <w:rFonts w:hint="default" w:ascii="Times New Roman" w:hAnsi="Times New Roman" w:eastAsia="宋体"/>
          <w:color w:val="000000" w:themeColor="text1"/>
          <w:sz w:val="24"/>
          <w:szCs w:val="24"/>
          <w:highlight w:val="none"/>
          <w:lang w:val="en-US" w:eastAsia="zh-CN"/>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cols w:space="425" w:num="1"/>
          <w:docGrid w:type="lines" w:linePitch="312" w:charSpace="0"/>
        </w:sectPr>
      </w:pPr>
    </w:p>
    <w:p w14:paraId="1DBB8810">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2" w:name="_Toc80643341"/>
      <w:r>
        <w:rPr>
          <w:rFonts w:ascii="Times New Roman" w:hAnsi="Times New Roman" w:eastAsia="宋体"/>
          <w:b/>
          <w:bCs/>
          <w:snapToGrid w:val="0"/>
          <w:color w:val="000000" w:themeColor="text1"/>
          <w:kern w:val="0"/>
          <w:sz w:val="36"/>
          <w:szCs w:val="32"/>
          <w:highlight w:val="none"/>
          <w14:textFill>
            <w14:solidFill>
              <w14:schemeClr w14:val="tx1"/>
            </w14:solidFill>
          </w14:textFill>
        </w:rPr>
        <w:t>一、建设项目基本情况</w:t>
      </w:r>
      <w:bookmarkEnd w:id="2"/>
    </w:p>
    <w:tbl>
      <w:tblPr>
        <w:tblStyle w:val="20"/>
        <w:tblW w:w="4953"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786"/>
        <w:gridCol w:w="2196"/>
        <w:gridCol w:w="1994"/>
        <w:gridCol w:w="2924"/>
      </w:tblGrid>
      <w:tr w14:paraId="2C9779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708C3E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建设项目名称</w:t>
            </w:r>
          </w:p>
        </w:tc>
        <w:tc>
          <w:tcPr>
            <w:tcW w:w="3996" w:type="pct"/>
            <w:gridSpan w:val="3"/>
            <w:vAlign w:val="center"/>
          </w:tcPr>
          <w:p w14:paraId="274676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南充至成都高速公路扩容工程LJ5标段4#站</w:t>
            </w:r>
          </w:p>
        </w:tc>
      </w:tr>
      <w:tr w14:paraId="7EFDF5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107A5B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项目代码</w:t>
            </w:r>
          </w:p>
        </w:tc>
        <w:tc>
          <w:tcPr>
            <w:tcW w:w="3996" w:type="pct"/>
            <w:gridSpan w:val="3"/>
            <w:vAlign w:val="center"/>
          </w:tcPr>
          <w:p w14:paraId="1C5A53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 w:val="24"/>
                <w:szCs w:val="24"/>
                <w:highlight w:val="none"/>
                <w14:textFill>
                  <w14:solidFill>
                    <w14:schemeClr w14:val="tx1"/>
                  </w14:solidFill>
                </w14:textFill>
              </w:rPr>
              <w:t>2209-510921-99-01-775415</w:t>
            </w:r>
          </w:p>
        </w:tc>
      </w:tr>
      <w:tr w14:paraId="12953B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27B75A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建设单位联系人</w:t>
            </w:r>
          </w:p>
        </w:tc>
        <w:tc>
          <w:tcPr>
            <w:tcW w:w="1233" w:type="pct"/>
            <w:vAlign w:val="center"/>
          </w:tcPr>
          <w:p w14:paraId="695660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康人和</w:t>
            </w:r>
          </w:p>
        </w:tc>
        <w:tc>
          <w:tcPr>
            <w:tcW w:w="1120" w:type="pct"/>
            <w:vAlign w:val="center"/>
          </w:tcPr>
          <w:p w14:paraId="10FBDC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联系方式</w:t>
            </w:r>
          </w:p>
        </w:tc>
        <w:tc>
          <w:tcPr>
            <w:tcW w:w="1642" w:type="pct"/>
            <w:vAlign w:val="center"/>
          </w:tcPr>
          <w:p w14:paraId="0F6195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18711391180</w:t>
            </w:r>
          </w:p>
        </w:tc>
      </w:tr>
      <w:tr w14:paraId="0EFD27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4A0B49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建设地点</w:t>
            </w:r>
          </w:p>
        </w:tc>
        <w:tc>
          <w:tcPr>
            <w:tcW w:w="3996" w:type="pct"/>
            <w:gridSpan w:val="3"/>
            <w:vAlign w:val="center"/>
          </w:tcPr>
          <w:p w14:paraId="67FED4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四川省遂宁市蓬溪县大石镇偏马村一社</w:t>
            </w:r>
          </w:p>
        </w:tc>
      </w:tr>
      <w:tr w14:paraId="50E0C6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21F4E7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地理坐标</w:t>
            </w:r>
          </w:p>
        </w:tc>
        <w:tc>
          <w:tcPr>
            <w:tcW w:w="3996" w:type="pct"/>
            <w:gridSpan w:val="3"/>
            <w:vAlign w:val="center"/>
          </w:tcPr>
          <w:p w14:paraId="578963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E</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105°37′49.578″，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30°39′29.020″</w:t>
            </w:r>
          </w:p>
        </w:tc>
      </w:tr>
      <w:tr w14:paraId="0C5472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22612F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国民经济</w:t>
            </w:r>
          </w:p>
          <w:p w14:paraId="22B59F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行业类别</w:t>
            </w:r>
          </w:p>
        </w:tc>
        <w:tc>
          <w:tcPr>
            <w:tcW w:w="1233" w:type="pct"/>
            <w:vAlign w:val="center"/>
          </w:tcPr>
          <w:p w14:paraId="2AFB43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C3021水泥制品制造</w:t>
            </w:r>
          </w:p>
        </w:tc>
        <w:tc>
          <w:tcPr>
            <w:tcW w:w="1120" w:type="pct"/>
            <w:vAlign w:val="center"/>
          </w:tcPr>
          <w:p w14:paraId="21AEC8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w:t>
            </w:r>
          </w:p>
          <w:p w14:paraId="3D6097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行业类别</w:t>
            </w:r>
          </w:p>
        </w:tc>
        <w:tc>
          <w:tcPr>
            <w:tcW w:w="1642" w:type="pct"/>
            <w:vAlign w:val="center"/>
          </w:tcPr>
          <w:p w14:paraId="7C680E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二十七、非金属矿物制品业30—55石膏、水泥制品及类似制品制造</w:t>
            </w:r>
          </w:p>
        </w:tc>
      </w:tr>
      <w:tr w14:paraId="334C7D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14FD13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建设性质</w:t>
            </w:r>
          </w:p>
        </w:tc>
        <w:tc>
          <w:tcPr>
            <w:tcW w:w="1233" w:type="pct"/>
            <w:vAlign w:val="center"/>
          </w:tcPr>
          <w:p w14:paraId="6C0DC8DE">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☑新建（迁建）</w:t>
            </w:r>
          </w:p>
          <w:p w14:paraId="50AFABF9">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改建</w:t>
            </w:r>
          </w:p>
          <w:p w14:paraId="4C8C9FB1">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扩建</w:t>
            </w:r>
          </w:p>
          <w:p w14:paraId="47CEEBF1">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技术改造</w:t>
            </w:r>
          </w:p>
        </w:tc>
        <w:tc>
          <w:tcPr>
            <w:tcW w:w="1120" w:type="pct"/>
            <w:vAlign w:val="center"/>
          </w:tcPr>
          <w:p w14:paraId="5A7D1F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w:t>
            </w:r>
          </w:p>
          <w:p w14:paraId="6F09A5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申报情形</w:t>
            </w:r>
          </w:p>
        </w:tc>
        <w:tc>
          <w:tcPr>
            <w:tcW w:w="1642" w:type="pct"/>
            <w:vAlign w:val="center"/>
          </w:tcPr>
          <w:p w14:paraId="1F073BA9">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☑首次申报项目</w:t>
            </w:r>
          </w:p>
          <w:p w14:paraId="56F2B698">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不予批准后再次申报项目</w:t>
            </w:r>
          </w:p>
          <w:p w14:paraId="33A9A279">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超五年重新审核项目</w:t>
            </w:r>
          </w:p>
          <w:p w14:paraId="6C6FE19A">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重大变动重新报批项目</w:t>
            </w:r>
          </w:p>
        </w:tc>
      </w:tr>
      <w:tr w14:paraId="4F91C6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05A916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项目审批（核</w:t>
            </w:r>
          </w:p>
          <w:p w14:paraId="6100C3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准/备案）部门</w:t>
            </w:r>
          </w:p>
        </w:tc>
        <w:tc>
          <w:tcPr>
            <w:tcW w:w="1233" w:type="pct"/>
            <w:vAlign w:val="center"/>
          </w:tcPr>
          <w:p w14:paraId="38C81B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蓬溪县行政审批局</w:t>
            </w:r>
          </w:p>
        </w:tc>
        <w:tc>
          <w:tcPr>
            <w:tcW w:w="1120" w:type="pct"/>
            <w:vAlign w:val="center"/>
          </w:tcPr>
          <w:p w14:paraId="319699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项目审批（核准/</w:t>
            </w:r>
          </w:p>
          <w:p w14:paraId="297207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备案）文号（选填）</w:t>
            </w:r>
          </w:p>
        </w:tc>
        <w:tc>
          <w:tcPr>
            <w:tcW w:w="1642" w:type="pct"/>
            <w:vAlign w:val="center"/>
          </w:tcPr>
          <w:p w14:paraId="5D863B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p>
        </w:tc>
      </w:tr>
      <w:tr w14:paraId="5C147C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4ECFBD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总投资（万元）</w:t>
            </w:r>
          </w:p>
        </w:tc>
        <w:tc>
          <w:tcPr>
            <w:tcW w:w="1233" w:type="pct"/>
            <w:vAlign w:val="center"/>
          </w:tcPr>
          <w:p w14:paraId="03030E4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920</w:t>
            </w:r>
          </w:p>
        </w:tc>
        <w:tc>
          <w:tcPr>
            <w:tcW w:w="1120" w:type="pct"/>
            <w:tcMar>
              <w:top w:w="16" w:type="dxa"/>
              <w:left w:w="16" w:type="dxa"/>
              <w:right w:w="16" w:type="dxa"/>
            </w:tcMar>
            <w:vAlign w:val="center"/>
          </w:tcPr>
          <w:p w14:paraId="1BBFD7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环保投资（万元）</w:t>
            </w:r>
          </w:p>
        </w:tc>
        <w:tc>
          <w:tcPr>
            <w:tcW w:w="1642" w:type="pct"/>
            <w:vAlign w:val="center"/>
          </w:tcPr>
          <w:p w14:paraId="2A85F3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90.4</w:t>
            </w:r>
          </w:p>
        </w:tc>
      </w:tr>
      <w:tr w14:paraId="72EEED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036BF0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环保投资占比</w:t>
            </w:r>
          </w:p>
        </w:tc>
        <w:tc>
          <w:tcPr>
            <w:tcW w:w="1233" w:type="pct"/>
            <w:vAlign w:val="center"/>
          </w:tcPr>
          <w:p w14:paraId="693E1E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9.8%</w:t>
            </w:r>
          </w:p>
        </w:tc>
        <w:tc>
          <w:tcPr>
            <w:tcW w:w="1120" w:type="pct"/>
            <w:tcMar>
              <w:top w:w="16" w:type="dxa"/>
              <w:left w:w="16" w:type="dxa"/>
              <w:right w:w="16" w:type="dxa"/>
            </w:tcMar>
            <w:vAlign w:val="center"/>
          </w:tcPr>
          <w:p w14:paraId="6DE4C8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施工工期</w:t>
            </w:r>
          </w:p>
        </w:tc>
        <w:tc>
          <w:tcPr>
            <w:tcW w:w="1642" w:type="pct"/>
            <w:vAlign w:val="center"/>
          </w:tcPr>
          <w:p w14:paraId="0F9AD1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个月</w:t>
            </w:r>
          </w:p>
        </w:tc>
      </w:tr>
      <w:tr w14:paraId="38BA5D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66B950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是否开工建设</w:t>
            </w:r>
          </w:p>
        </w:tc>
        <w:tc>
          <w:tcPr>
            <w:tcW w:w="1233" w:type="pct"/>
            <w:vAlign w:val="center"/>
          </w:tcPr>
          <w:p w14:paraId="5A1D0342">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☑否</w:t>
            </w:r>
          </w:p>
          <w:p w14:paraId="7612EB22">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是：           </w:t>
            </w:r>
          </w:p>
        </w:tc>
        <w:tc>
          <w:tcPr>
            <w:tcW w:w="1120" w:type="pct"/>
            <w:tcMar>
              <w:top w:w="16" w:type="dxa"/>
              <w:left w:w="16" w:type="dxa"/>
              <w:right w:w="16" w:type="dxa"/>
            </w:tcMar>
            <w:vAlign w:val="center"/>
          </w:tcPr>
          <w:p w14:paraId="5C19122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用地（用海）</w:t>
            </w:r>
          </w:p>
          <w:p w14:paraId="1D8B37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面积（m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tc>
        <w:tc>
          <w:tcPr>
            <w:tcW w:w="1642" w:type="pct"/>
            <w:vAlign w:val="center"/>
          </w:tcPr>
          <w:p w14:paraId="28B0D7A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42000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2</w:t>
            </w:r>
          </w:p>
        </w:tc>
      </w:tr>
      <w:tr w14:paraId="28C135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57" w:hRule="atLeast"/>
        </w:trPr>
        <w:tc>
          <w:tcPr>
            <w:tcW w:w="1003" w:type="pct"/>
            <w:tcMar>
              <w:top w:w="16" w:type="dxa"/>
              <w:left w:w="16" w:type="dxa"/>
              <w:right w:w="16" w:type="dxa"/>
            </w:tcMar>
            <w:vAlign w:val="center"/>
          </w:tcPr>
          <w:p w14:paraId="1CE8FD0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专项评价</w:t>
            </w:r>
          </w:p>
          <w:p w14:paraId="7DE106A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设置情况</w:t>
            </w:r>
          </w:p>
        </w:tc>
        <w:tc>
          <w:tcPr>
            <w:tcW w:w="3996" w:type="pct"/>
            <w:gridSpan w:val="3"/>
            <w:tcMar>
              <w:top w:w="16" w:type="dxa"/>
              <w:left w:w="16" w:type="dxa"/>
              <w:right w:w="16" w:type="dxa"/>
            </w:tcMar>
            <w:vAlign w:val="center"/>
          </w:tcPr>
          <w:p w14:paraId="5B295852">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本项目专项设置原则：</w:t>
            </w:r>
          </w:p>
          <w:p w14:paraId="21201CDC">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表1-1    项目专项评价设置情况</w:t>
            </w:r>
          </w:p>
          <w:tbl>
            <w:tblPr>
              <w:tblStyle w:val="20"/>
              <w:tblW w:w="4899" w:type="pct"/>
              <w:jc w:val="center"/>
              <w:tblLayout w:type="fixed"/>
              <w:tblCellMar>
                <w:top w:w="0" w:type="dxa"/>
                <w:left w:w="0" w:type="dxa"/>
                <w:bottom w:w="0" w:type="dxa"/>
                <w:right w:w="0" w:type="dxa"/>
              </w:tblCellMar>
            </w:tblPr>
            <w:tblGrid>
              <w:gridCol w:w="976"/>
              <w:gridCol w:w="4602"/>
              <w:gridCol w:w="812"/>
              <w:gridCol w:w="549"/>
            </w:tblGrid>
            <w:tr w14:paraId="7A0A4F72">
              <w:tblPrEx>
                <w:tblCellMar>
                  <w:top w:w="0" w:type="dxa"/>
                  <w:left w:w="0" w:type="dxa"/>
                  <w:bottom w:w="0" w:type="dxa"/>
                  <w:right w:w="0" w:type="dxa"/>
                </w:tblCellMar>
              </w:tblPrEx>
              <w:trPr>
                <w:trHeight w:val="340" w:hRule="atLeast"/>
                <w:jc w:val="center"/>
              </w:trPr>
              <w:tc>
                <w:tcPr>
                  <w:tcW w:w="703" w:type="pct"/>
                  <w:tcBorders>
                    <w:top w:val="single" w:color="000000" w:sz="12" w:space="0"/>
                    <w:bottom w:val="single" w:color="000000" w:sz="4" w:space="0"/>
                    <w:right w:val="single" w:color="000000" w:sz="4" w:space="0"/>
                  </w:tcBorders>
                  <w:vAlign w:val="center"/>
                </w:tcPr>
                <w:p w14:paraId="5E480730">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专项评价的类别</w:t>
                  </w:r>
                </w:p>
              </w:tc>
              <w:tc>
                <w:tcPr>
                  <w:tcW w:w="3316" w:type="pct"/>
                  <w:tcBorders>
                    <w:top w:val="single" w:color="000000" w:sz="12" w:space="0"/>
                    <w:left w:val="single" w:color="000000" w:sz="4" w:space="0"/>
                    <w:bottom w:val="single" w:color="000000" w:sz="4" w:space="0"/>
                    <w:right w:val="single" w:color="000000" w:sz="6" w:space="0"/>
                  </w:tcBorders>
                  <w:vAlign w:val="center"/>
                </w:tcPr>
                <w:p w14:paraId="70D898D5">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设置原则</w:t>
                  </w:r>
                </w:p>
              </w:tc>
              <w:tc>
                <w:tcPr>
                  <w:tcW w:w="585" w:type="pct"/>
                  <w:tcBorders>
                    <w:top w:val="single" w:color="000000" w:sz="12" w:space="0"/>
                    <w:left w:val="single" w:color="000000" w:sz="4" w:space="0"/>
                    <w:bottom w:val="single" w:color="000000" w:sz="4" w:space="0"/>
                    <w:right w:val="single" w:color="000000" w:sz="6" w:space="0"/>
                  </w:tcBorders>
                  <w:vAlign w:val="center"/>
                </w:tcPr>
                <w:p w14:paraId="6945A9DF">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本项目</w:t>
                  </w:r>
                </w:p>
              </w:tc>
              <w:tc>
                <w:tcPr>
                  <w:tcW w:w="395" w:type="pct"/>
                  <w:tcBorders>
                    <w:top w:val="single" w:color="000000" w:sz="12" w:space="0"/>
                    <w:left w:val="single" w:color="000000" w:sz="4" w:space="0"/>
                    <w:bottom w:val="single" w:color="000000" w:sz="4" w:space="0"/>
                  </w:tcBorders>
                  <w:vAlign w:val="center"/>
                </w:tcPr>
                <w:p w14:paraId="76448B41">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是否设置</w:t>
                  </w:r>
                </w:p>
              </w:tc>
            </w:tr>
            <w:tr w14:paraId="6FF22CC1">
              <w:tblPrEx>
                <w:tblCellMar>
                  <w:top w:w="0" w:type="dxa"/>
                  <w:left w:w="0" w:type="dxa"/>
                  <w:bottom w:w="0" w:type="dxa"/>
                  <w:right w:w="0" w:type="dxa"/>
                </w:tblCellMar>
              </w:tblPrEx>
              <w:trPr>
                <w:trHeight w:val="340" w:hRule="atLeast"/>
                <w:jc w:val="center"/>
              </w:trPr>
              <w:tc>
                <w:tcPr>
                  <w:tcW w:w="703" w:type="pct"/>
                  <w:tcBorders>
                    <w:top w:val="single" w:color="000000" w:sz="4" w:space="0"/>
                    <w:bottom w:val="single" w:color="000000" w:sz="4" w:space="0"/>
                    <w:right w:val="single" w:color="000000" w:sz="4" w:space="0"/>
                  </w:tcBorders>
                  <w:vAlign w:val="center"/>
                </w:tcPr>
                <w:p w14:paraId="130CADE6">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大气</w:t>
                  </w:r>
                </w:p>
              </w:tc>
              <w:tc>
                <w:tcPr>
                  <w:tcW w:w="3316" w:type="pct"/>
                  <w:tcBorders>
                    <w:top w:val="single" w:color="000000" w:sz="4" w:space="0"/>
                    <w:left w:val="single" w:color="000000" w:sz="4" w:space="0"/>
                    <w:bottom w:val="single" w:color="000000" w:sz="4" w:space="0"/>
                    <w:right w:val="single" w:color="000000" w:sz="6" w:space="0"/>
                  </w:tcBorders>
                  <w:vAlign w:val="center"/>
                </w:tcPr>
                <w:p w14:paraId="134D9217">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排放废气含有毒有害污染物、二噁英、苯并[a]芘、氰化物、氯气且厂界外500米范围内有环境空气保护目标的建设项目</w:t>
                  </w:r>
                </w:p>
              </w:tc>
              <w:tc>
                <w:tcPr>
                  <w:tcW w:w="585" w:type="pct"/>
                  <w:tcBorders>
                    <w:top w:val="single" w:color="000000" w:sz="4" w:space="0"/>
                    <w:left w:val="single" w:color="000000" w:sz="4" w:space="0"/>
                    <w:bottom w:val="single" w:color="000000" w:sz="4" w:space="0"/>
                    <w:right w:val="single" w:color="000000" w:sz="6" w:space="0"/>
                  </w:tcBorders>
                  <w:vAlign w:val="center"/>
                </w:tcPr>
                <w:p w14:paraId="5FCF085B">
                  <w:pPr>
                    <w:adjustRightInd w:val="0"/>
                    <w:snapToGrid w:val="0"/>
                    <w:ind w:left="102"/>
                    <w:jc w:val="center"/>
                    <w:rPr>
                      <w:rFonts w:hint="eastAsia"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1"/>
                      <w:szCs w:val="21"/>
                      <w:highlight w:val="none"/>
                      <w:lang w:val="en-US" w:eastAsia="zh-CN"/>
                      <w14:textFill>
                        <w14:solidFill>
                          <w14:schemeClr w14:val="tx1"/>
                        </w14:solidFill>
                      </w14:textFill>
                    </w:rPr>
                    <w:t>不涉及</w:t>
                  </w:r>
                </w:p>
              </w:tc>
              <w:tc>
                <w:tcPr>
                  <w:tcW w:w="395" w:type="pct"/>
                  <w:tcBorders>
                    <w:top w:val="single" w:color="000000" w:sz="4" w:space="0"/>
                    <w:left w:val="single" w:color="000000" w:sz="4" w:space="0"/>
                    <w:bottom w:val="single" w:color="000000" w:sz="4" w:space="0"/>
                  </w:tcBorders>
                  <w:vAlign w:val="center"/>
                </w:tcPr>
                <w:p w14:paraId="431BD1A9">
                  <w:pPr>
                    <w:keepNext w:val="0"/>
                    <w:keepLines w:val="0"/>
                    <w:pageBreakBefore w:val="0"/>
                    <w:widowControl w:val="0"/>
                    <w:kinsoku/>
                    <w:wordWrap/>
                    <w:overflowPunct/>
                    <w:topLinePunct w:val="0"/>
                    <w:autoSpaceDE/>
                    <w:autoSpaceDN/>
                    <w:bidi w:val="0"/>
                    <w:adjustRightInd w:val="0"/>
                    <w:snapToGrid w:val="0"/>
                    <w:ind w:left="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063B50AA">
              <w:tblPrEx>
                <w:tblCellMar>
                  <w:top w:w="0" w:type="dxa"/>
                  <w:left w:w="0" w:type="dxa"/>
                  <w:bottom w:w="0" w:type="dxa"/>
                  <w:right w:w="0" w:type="dxa"/>
                </w:tblCellMar>
              </w:tblPrEx>
              <w:trPr>
                <w:trHeight w:val="340" w:hRule="atLeast"/>
                <w:jc w:val="center"/>
              </w:trPr>
              <w:tc>
                <w:tcPr>
                  <w:tcW w:w="703" w:type="pct"/>
                  <w:tcBorders>
                    <w:top w:val="single" w:color="000000" w:sz="4" w:space="0"/>
                    <w:bottom w:val="single" w:color="000000" w:sz="4" w:space="0"/>
                    <w:right w:val="single" w:color="000000" w:sz="4" w:space="0"/>
                  </w:tcBorders>
                  <w:vAlign w:val="center"/>
                </w:tcPr>
                <w:p w14:paraId="747EFC45">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地表水</w:t>
                  </w:r>
                </w:p>
              </w:tc>
              <w:tc>
                <w:tcPr>
                  <w:tcW w:w="3316" w:type="pct"/>
                  <w:tcBorders>
                    <w:top w:val="single" w:color="000000" w:sz="4" w:space="0"/>
                    <w:left w:val="single" w:color="000000" w:sz="4" w:space="0"/>
                    <w:bottom w:val="single" w:color="000000" w:sz="4" w:space="0"/>
                    <w:right w:val="single" w:color="000000" w:sz="6" w:space="0"/>
                  </w:tcBorders>
                  <w:vAlign w:val="center"/>
                </w:tcPr>
                <w:p w14:paraId="27B09FEF">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新增工业废水直排建设项目（槽罐车外送污水处理厂的除外）；新增废水直排的污水集中处理厂</w:t>
                  </w:r>
                </w:p>
              </w:tc>
              <w:tc>
                <w:tcPr>
                  <w:tcW w:w="585" w:type="pct"/>
                  <w:tcBorders>
                    <w:top w:val="single" w:color="000000" w:sz="4" w:space="0"/>
                    <w:left w:val="single" w:color="000000" w:sz="4" w:space="0"/>
                    <w:bottom w:val="single" w:color="000000" w:sz="4" w:space="0"/>
                    <w:right w:val="single" w:color="000000" w:sz="6" w:space="0"/>
                  </w:tcBorders>
                  <w:vAlign w:val="center"/>
                </w:tcPr>
                <w:p w14:paraId="4DF89D2B">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不涉及</w:t>
                  </w:r>
                </w:p>
              </w:tc>
              <w:tc>
                <w:tcPr>
                  <w:tcW w:w="395" w:type="pct"/>
                  <w:tcBorders>
                    <w:top w:val="single" w:color="000000" w:sz="4" w:space="0"/>
                    <w:left w:val="single" w:color="000000" w:sz="4" w:space="0"/>
                    <w:bottom w:val="single" w:color="000000" w:sz="4" w:space="0"/>
                  </w:tcBorders>
                  <w:vAlign w:val="center"/>
                </w:tcPr>
                <w:p w14:paraId="13C4643B">
                  <w:pPr>
                    <w:keepNext w:val="0"/>
                    <w:keepLines w:val="0"/>
                    <w:pageBreakBefore w:val="0"/>
                    <w:widowControl w:val="0"/>
                    <w:kinsoku/>
                    <w:wordWrap/>
                    <w:overflowPunct/>
                    <w:topLinePunct w:val="0"/>
                    <w:autoSpaceDE/>
                    <w:autoSpaceDN/>
                    <w:bidi w:val="0"/>
                    <w:adjustRightInd w:val="0"/>
                    <w:snapToGrid w:val="0"/>
                    <w:ind w:left="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47B013BF">
              <w:tblPrEx>
                <w:tblCellMar>
                  <w:top w:w="0" w:type="dxa"/>
                  <w:left w:w="0" w:type="dxa"/>
                  <w:bottom w:w="0" w:type="dxa"/>
                  <w:right w:w="0" w:type="dxa"/>
                </w:tblCellMar>
              </w:tblPrEx>
              <w:trPr>
                <w:trHeight w:val="340" w:hRule="atLeast"/>
                <w:jc w:val="center"/>
              </w:trPr>
              <w:tc>
                <w:tcPr>
                  <w:tcW w:w="703" w:type="pct"/>
                  <w:tcBorders>
                    <w:top w:val="single" w:color="000000" w:sz="4" w:space="0"/>
                    <w:bottom w:val="single" w:color="000000" w:sz="4" w:space="0"/>
                    <w:right w:val="single" w:color="000000" w:sz="4" w:space="0"/>
                  </w:tcBorders>
                  <w:vAlign w:val="center"/>
                </w:tcPr>
                <w:p w14:paraId="342FD8D9">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环境风险</w:t>
                  </w:r>
                </w:p>
              </w:tc>
              <w:tc>
                <w:tcPr>
                  <w:tcW w:w="3316" w:type="pct"/>
                  <w:tcBorders>
                    <w:top w:val="single" w:color="000000" w:sz="4" w:space="0"/>
                    <w:left w:val="single" w:color="000000" w:sz="4" w:space="0"/>
                    <w:bottom w:val="single" w:color="000000" w:sz="4" w:space="0"/>
                    <w:right w:val="single" w:color="000000" w:sz="6" w:space="0"/>
                  </w:tcBorders>
                  <w:vAlign w:val="center"/>
                </w:tcPr>
                <w:p w14:paraId="62D3B77A">
                  <w:pPr>
                    <w:adjustRightInd w:val="0"/>
                    <w:snapToGrid w:val="0"/>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有毒有害和易燃易爆危险物质存储量超过临界量的建设项目</w:t>
                  </w:r>
                </w:p>
              </w:tc>
              <w:tc>
                <w:tcPr>
                  <w:tcW w:w="585" w:type="pct"/>
                  <w:tcBorders>
                    <w:top w:val="single" w:color="000000" w:sz="4" w:space="0"/>
                    <w:left w:val="single" w:color="000000" w:sz="4" w:space="0"/>
                    <w:bottom w:val="single" w:color="000000" w:sz="4" w:space="0"/>
                    <w:right w:val="single" w:color="000000" w:sz="6" w:space="0"/>
                  </w:tcBorders>
                  <w:vAlign w:val="center"/>
                </w:tcPr>
                <w:p w14:paraId="0028685F">
                  <w:pPr>
                    <w:adjustRightInd w:val="0"/>
                    <w:snapToGrid w:val="0"/>
                    <w:jc w:val="cente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本项目</w:t>
                  </w:r>
                  <w:r>
                    <w:rPr>
                      <w:rFonts w:hint="eastAsia" w:ascii="Times New Roman" w:hAnsi="Times New Roman" w:eastAsia="宋体" w:cs="Times New Roman"/>
                      <w:bCs/>
                      <w:color w:val="000000" w:themeColor="text1"/>
                      <w:sz w:val="21"/>
                      <w:szCs w:val="21"/>
                      <w:highlight w:val="none"/>
                      <w:lang w:val="en-US" w:eastAsia="zh-CN"/>
                      <w14:textFill>
                        <w14:solidFill>
                          <w14:schemeClr w14:val="tx1"/>
                        </w14:solidFill>
                      </w14:textFill>
                    </w:rPr>
                    <w:t>Q＜1</w:t>
                  </w:r>
                </w:p>
              </w:tc>
              <w:tc>
                <w:tcPr>
                  <w:tcW w:w="395" w:type="pct"/>
                  <w:tcBorders>
                    <w:top w:val="single" w:color="000000" w:sz="4" w:space="0"/>
                    <w:left w:val="single" w:color="000000" w:sz="4" w:space="0"/>
                    <w:bottom w:val="single" w:color="000000" w:sz="4" w:space="0"/>
                  </w:tcBorders>
                  <w:vAlign w:val="center"/>
                </w:tcPr>
                <w:p w14:paraId="3F646E2D">
                  <w:pPr>
                    <w:keepNext w:val="0"/>
                    <w:keepLines w:val="0"/>
                    <w:pageBreakBefore w:val="0"/>
                    <w:widowControl w:val="0"/>
                    <w:kinsoku/>
                    <w:wordWrap/>
                    <w:overflowPunct/>
                    <w:topLinePunct w:val="0"/>
                    <w:autoSpaceDE/>
                    <w:autoSpaceDN/>
                    <w:bidi w:val="0"/>
                    <w:adjustRightInd w:val="0"/>
                    <w:snapToGrid w:val="0"/>
                    <w:ind w:left="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1C52736C">
              <w:tblPrEx>
                <w:tblCellMar>
                  <w:top w:w="0" w:type="dxa"/>
                  <w:left w:w="0" w:type="dxa"/>
                  <w:bottom w:w="0" w:type="dxa"/>
                  <w:right w:w="0" w:type="dxa"/>
                </w:tblCellMar>
              </w:tblPrEx>
              <w:trPr>
                <w:trHeight w:val="340" w:hRule="atLeast"/>
                <w:jc w:val="center"/>
              </w:trPr>
              <w:tc>
                <w:tcPr>
                  <w:tcW w:w="703" w:type="pct"/>
                  <w:tcBorders>
                    <w:top w:val="single" w:color="000000" w:sz="4" w:space="0"/>
                    <w:bottom w:val="single" w:color="000000" w:sz="4" w:space="0"/>
                    <w:right w:val="single" w:color="000000" w:sz="4" w:space="0"/>
                  </w:tcBorders>
                  <w:vAlign w:val="center"/>
                </w:tcPr>
                <w:p w14:paraId="171C43F2">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生态</w:t>
                  </w:r>
                </w:p>
              </w:tc>
              <w:tc>
                <w:tcPr>
                  <w:tcW w:w="3316" w:type="pct"/>
                  <w:tcBorders>
                    <w:top w:val="single" w:color="000000" w:sz="4" w:space="0"/>
                    <w:left w:val="single" w:color="000000" w:sz="4" w:space="0"/>
                    <w:bottom w:val="single" w:color="000000" w:sz="4" w:space="0"/>
                    <w:right w:val="single" w:color="000000" w:sz="6" w:space="0"/>
                  </w:tcBorders>
                  <w:vAlign w:val="center"/>
                </w:tcPr>
                <w:p w14:paraId="0496FD60">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取水口下游500米范围内有重要水生生物的自然产卵场、索饵场、越冬场和洄游通道的新增河道取水的污染类建设项目</w:t>
                  </w:r>
                </w:p>
              </w:tc>
              <w:tc>
                <w:tcPr>
                  <w:tcW w:w="585" w:type="pct"/>
                  <w:tcBorders>
                    <w:top w:val="single" w:color="000000" w:sz="4" w:space="0"/>
                    <w:left w:val="single" w:color="000000" w:sz="4" w:space="0"/>
                    <w:bottom w:val="single" w:color="000000" w:sz="4" w:space="0"/>
                    <w:right w:val="single" w:color="000000" w:sz="6" w:space="0"/>
                  </w:tcBorders>
                  <w:vAlign w:val="center"/>
                </w:tcPr>
                <w:p w14:paraId="5872D167">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不涉及</w:t>
                  </w:r>
                </w:p>
              </w:tc>
              <w:tc>
                <w:tcPr>
                  <w:tcW w:w="395" w:type="pct"/>
                  <w:tcBorders>
                    <w:top w:val="single" w:color="000000" w:sz="4" w:space="0"/>
                    <w:left w:val="single" w:color="000000" w:sz="4" w:space="0"/>
                    <w:bottom w:val="single" w:color="000000" w:sz="4" w:space="0"/>
                  </w:tcBorders>
                  <w:vAlign w:val="center"/>
                </w:tcPr>
                <w:p w14:paraId="024B8119">
                  <w:pPr>
                    <w:keepNext w:val="0"/>
                    <w:keepLines w:val="0"/>
                    <w:pageBreakBefore w:val="0"/>
                    <w:widowControl w:val="0"/>
                    <w:kinsoku/>
                    <w:wordWrap/>
                    <w:overflowPunct/>
                    <w:topLinePunct w:val="0"/>
                    <w:autoSpaceDE/>
                    <w:autoSpaceDN/>
                    <w:bidi w:val="0"/>
                    <w:adjustRightInd w:val="0"/>
                    <w:snapToGrid w:val="0"/>
                    <w:ind w:left="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334679D0">
              <w:tblPrEx>
                <w:tblCellMar>
                  <w:top w:w="0" w:type="dxa"/>
                  <w:left w:w="0" w:type="dxa"/>
                  <w:bottom w:w="0" w:type="dxa"/>
                  <w:right w:w="0" w:type="dxa"/>
                </w:tblCellMar>
              </w:tblPrEx>
              <w:trPr>
                <w:trHeight w:val="340" w:hRule="atLeast"/>
                <w:jc w:val="center"/>
              </w:trPr>
              <w:tc>
                <w:tcPr>
                  <w:tcW w:w="703" w:type="pct"/>
                  <w:tcBorders>
                    <w:top w:val="single" w:color="000000" w:sz="4" w:space="0"/>
                    <w:bottom w:val="single" w:color="000000" w:sz="12" w:space="0"/>
                    <w:right w:val="single" w:color="000000" w:sz="4" w:space="0"/>
                  </w:tcBorders>
                  <w:vAlign w:val="center"/>
                </w:tcPr>
                <w:p w14:paraId="1756116C">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海洋</w:t>
                  </w:r>
                </w:p>
              </w:tc>
              <w:tc>
                <w:tcPr>
                  <w:tcW w:w="3316" w:type="pct"/>
                  <w:tcBorders>
                    <w:top w:val="single" w:color="000000" w:sz="4" w:space="0"/>
                    <w:left w:val="single" w:color="000000" w:sz="4" w:space="0"/>
                    <w:bottom w:val="single" w:color="000000" w:sz="12" w:space="0"/>
                    <w:right w:val="single" w:color="000000" w:sz="6" w:space="0"/>
                  </w:tcBorders>
                  <w:vAlign w:val="center"/>
                </w:tcPr>
                <w:p w14:paraId="4351EAC7">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直接向海排放污染物的海洋工程建设项目</w:t>
                  </w:r>
                </w:p>
              </w:tc>
              <w:tc>
                <w:tcPr>
                  <w:tcW w:w="585" w:type="pct"/>
                  <w:tcBorders>
                    <w:top w:val="single" w:color="000000" w:sz="4" w:space="0"/>
                    <w:left w:val="single" w:color="000000" w:sz="4" w:space="0"/>
                    <w:bottom w:val="single" w:color="000000" w:sz="12" w:space="0"/>
                    <w:right w:val="single" w:color="000000" w:sz="6" w:space="0"/>
                  </w:tcBorders>
                  <w:vAlign w:val="center"/>
                </w:tcPr>
                <w:p w14:paraId="254C8504">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不涉及</w:t>
                  </w:r>
                </w:p>
              </w:tc>
              <w:tc>
                <w:tcPr>
                  <w:tcW w:w="395" w:type="pct"/>
                  <w:tcBorders>
                    <w:top w:val="single" w:color="000000" w:sz="4" w:space="0"/>
                    <w:left w:val="single" w:color="000000" w:sz="4" w:space="0"/>
                    <w:bottom w:val="single" w:color="000000" w:sz="12" w:space="0"/>
                  </w:tcBorders>
                  <w:vAlign w:val="center"/>
                </w:tcPr>
                <w:p w14:paraId="513122DD">
                  <w:pPr>
                    <w:keepNext w:val="0"/>
                    <w:keepLines w:val="0"/>
                    <w:pageBreakBefore w:val="0"/>
                    <w:widowControl w:val="0"/>
                    <w:kinsoku/>
                    <w:wordWrap/>
                    <w:overflowPunct/>
                    <w:topLinePunct w:val="0"/>
                    <w:autoSpaceDE/>
                    <w:autoSpaceDN/>
                    <w:bidi w:val="0"/>
                    <w:adjustRightInd w:val="0"/>
                    <w:snapToGrid w:val="0"/>
                    <w:ind w:left="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bl>
          <w:p w14:paraId="25C768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综上，本项目</w:t>
            </w:r>
            <w:r>
              <w:rPr>
                <w:rFonts w:hint="default" w:ascii="Times New Roman" w:hAnsi="Times New Roman" w:eastAsia="宋体" w:cs="Times New Roman"/>
                <w:color w:val="000000" w:themeColor="text1"/>
                <w:sz w:val="24"/>
                <w:szCs w:val="24"/>
                <w:highlight w:val="none"/>
                <w14:textFill>
                  <w14:solidFill>
                    <w14:schemeClr w14:val="tx1"/>
                  </w14:solidFill>
                </w14:textFill>
              </w:rPr>
              <w:t>无需设置专项评价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tc>
      </w:tr>
      <w:tr w14:paraId="15383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4D0F61C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规划情况</w:t>
            </w:r>
          </w:p>
        </w:tc>
        <w:tc>
          <w:tcPr>
            <w:tcW w:w="3996" w:type="pct"/>
            <w:gridSpan w:val="3"/>
            <w:tcMar>
              <w:top w:w="16" w:type="dxa"/>
              <w:left w:w="16" w:type="dxa"/>
              <w:right w:w="16" w:type="dxa"/>
            </w:tcMar>
            <w:vAlign w:val="center"/>
          </w:tcPr>
          <w:p w14:paraId="2A7C99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无</w:t>
            </w:r>
          </w:p>
        </w:tc>
      </w:tr>
      <w:tr w14:paraId="08FA69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46F90D7C">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规划环境影响</w:t>
            </w:r>
          </w:p>
          <w:p w14:paraId="444BB2E2">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评价情况</w:t>
            </w:r>
          </w:p>
        </w:tc>
        <w:tc>
          <w:tcPr>
            <w:tcW w:w="3996" w:type="pct"/>
            <w:gridSpan w:val="3"/>
            <w:tcMar>
              <w:top w:w="16" w:type="dxa"/>
              <w:left w:w="16" w:type="dxa"/>
              <w:right w:w="16" w:type="dxa"/>
            </w:tcMar>
            <w:vAlign w:val="center"/>
          </w:tcPr>
          <w:p w14:paraId="42FAD37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无</w:t>
            </w:r>
          </w:p>
        </w:tc>
      </w:tr>
      <w:tr w14:paraId="67464E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003" w:type="pct"/>
            <w:tcMar>
              <w:top w:w="16" w:type="dxa"/>
              <w:left w:w="16" w:type="dxa"/>
              <w:right w:w="16" w:type="dxa"/>
            </w:tcMar>
            <w:vAlign w:val="center"/>
          </w:tcPr>
          <w:p w14:paraId="0E91D8E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规划及</w:t>
            </w:r>
            <w:r>
              <w:rPr>
                <w:rFonts w:hint="default" w:ascii="Times New Roman" w:hAnsi="Times New Roman" w:eastAsia="宋体" w:cs="Times New Roman"/>
                <w:color w:val="000000" w:themeColor="text1"/>
                <w:sz w:val="24"/>
                <w:szCs w:val="24"/>
                <w:highlight w:val="none"/>
                <w14:textFill>
                  <w14:solidFill>
                    <w14:schemeClr w14:val="tx1"/>
                  </w14:solidFill>
                </w14:textFill>
              </w:rPr>
              <w:t>规划环境影响评价</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符合性分析</w:t>
            </w:r>
          </w:p>
        </w:tc>
        <w:tc>
          <w:tcPr>
            <w:tcW w:w="3996" w:type="pct"/>
            <w:gridSpan w:val="3"/>
            <w:tcMar>
              <w:top w:w="16" w:type="dxa"/>
              <w:left w:w="16" w:type="dxa"/>
              <w:right w:w="16" w:type="dxa"/>
            </w:tcMar>
            <w:vAlign w:val="center"/>
          </w:tcPr>
          <w:p w14:paraId="6392696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无</w:t>
            </w:r>
          </w:p>
        </w:tc>
      </w:tr>
    </w:tbl>
    <w:p w14:paraId="6EF3BE22">
      <w:pPr>
        <w:autoSpaceDE w:val="0"/>
        <w:autoSpaceDN w:val="0"/>
        <w:adjustRightInd w:val="0"/>
        <w:snapToGrid w:val="0"/>
        <w:spacing w:line="500" w:lineRule="exact"/>
        <w:jc w:val="center"/>
        <w:rPr>
          <w:rFonts w:ascii="Times New Roman" w:hAnsi="Times New Roman" w:eastAsia="宋体"/>
          <w:color w:val="000000" w:themeColor="text1"/>
          <w:kern w:val="0"/>
          <w:sz w:val="24"/>
          <w:szCs w:val="24"/>
          <w:highlight w:val="none"/>
          <w14:textFill>
            <w14:solidFill>
              <w14:schemeClr w14:val="tx1"/>
            </w14:solidFill>
          </w14:textFill>
        </w:rPr>
        <w:sectPr>
          <w:footerReference r:id="rId3" w:type="default"/>
          <w:pgSz w:w="11906" w:h="16838"/>
          <w:pgMar w:top="1417" w:right="1474" w:bottom="1417" w:left="1474"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tbl>
      <w:tblPr>
        <w:tblStyle w:val="20"/>
        <w:tblW w:w="4982"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969"/>
        <w:gridCol w:w="7989"/>
      </w:tblGrid>
      <w:tr w14:paraId="1960D0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75" w:hRule="atLeast"/>
        </w:trPr>
        <w:tc>
          <w:tcPr>
            <w:tcW w:w="541" w:type="pct"/>
            <w:tcMar>
              <w:top w:w="16" w:type="dxa"/>
              <w:left w:w="16" w:type="dxa"/>
              <w:right w:w="16" w:type="dxa"/>
            </w:tcMar>
            <w:vAlign w:val="center"/>
          </w:tcPr>
          <w:p w14:paraId="49B8E535">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其他符合性分析</w:t>
            </w:r>
          </w:p>
        </w:tc>
        <w:tc>
          <w:tcPr>
            <w:tcW w:w="4458" w:type="pct"/>
            <w:tcMar>
              <w:top w:w="16" w:type="dxa"/>
              <w:left w:w="16" w:type="dxa"/>
              <w:right w:w="16" w:type="dxa"/>
            </w:tcMar>
            <w:vAlign w:val="center"/>
          </w:tcPr>
          <w:p w14:paraId="53C32D9C">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一、产业政策符合性分析</w:t>
            </w:r>
          </w:p>
          <w:p w14:paraId="231584F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根据《国民经济行业分类与代码》（GB/T4754-2017），项目属于“</w:t>
            </w:r>
            <w:r>
              <w:rPr>
                <w:rFonts w:ascii="Times New Roman" w:hAnsi="Times New Roman" w:eastAsia="宋体"/>
                <w:color w:val="000000" w:themeColor="text1"/>
                <w:sz w:val="24"/>
                <w:szCs w:val="24"/>
                <w:highlight w:val="none"/>
                <w14:textFill>
                  <w14:solidFill>
                    <w14:schemeClr w14:val="tx1"/>
                  </w14:solidFill>
                </w14:textFill>
              </w:rPr>
              <w:t>C</w:t>
            </w:r>
            <w:r>
              <w:rPr>
                <w:rFonts w:hint="eastAsia" w:ascii="Times New Roman" w:hAnsi="Times New Roman" w:eastAsia="宋体"/>
                <w:color w:val="000000" w:themeColor="text1"/>
                <w:sz w:val="24"/>
                <w:szCs w:val="24"/>
                <w:highlight w:val="none"/>
                <w14:textFill>
                  <w14:solidFill>
                    <w14:schemeClr w14:val="tx1"/>
                  </w14:solidFill>
                </w14:textFill>
              </w:rPr>
              <w:t>3021 水泥制品制造”，</w:t>
            </w:r>
            <w:r>
              <w:rPr>
                <w:rFonts w:hint="eastAsia" w:ascii="Times New Roman" w:hAnsi="Times New Roman" w:eastAsia="宋体"/>
                <w:color w:val="000000" w:themeColor="text1"/>
                <w:sz w:val="24"/>
                <w:szCs w:val="24"/>
                <w:highlight w:val="none"/>
                <w:lang w:eastAsia="zh-CN"/>
                <w14:textFill>
                  <w14:solidFill>
                    <w14:schemeClr w14:val="tx1"/>
                  </w14:solidFill>
                </w14:textFill>
              </w:rPr>
              <w:t>不涉及《环境保护综合名录（2021）版》中所列“高污染、高能耗”产品及工艺，</w:t>
            </w:r>
            <w:r>
              <w:rPr>
                <w:rFonts w:hint="eastAsia" w:ascii="Times New Roman" w:hAnsi="Times New Roman" w:eastAsia="宋体"/>
                <w:color w:val="000000" w:themeColor="text1"/>
                <w:sz w:val="24"/>
                <w:szCs w:val="24"/>
                <w:highlight w:val="none"/>
                <w14:textFill>
                  <w14:solidFill>
                    <w14:schemeClr w14:val="tx1"/>
                  </w14:solidFill>
                </w14:textFill>
              </w:rPr>
              <w:t>根据中华人民共和国国家发展和改革委员会《产业结构调整指导目录（2019年本）》可知，本项目不属于鼓励类、限制类和淘汰类，允许类不列入《产业结构调整指导目录》，因此本项目属于“允许类”。</w:t>
            </w:r>
          </w:p>
          <w:p w14:paraId="64AE91D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val="0"/>
                <w:bCs w:val="0"/>
                <w:color w:val="000000" w:themeColor="text1"/>
                <w:sz w:val="24"/>
                <w:szCs w:val="24"/>
                <w:highlight w:val="none"/>
                <w14:textFill>
                  <w14:solidFill>
                    <w14:schemeClr w14:val="tx1"/>
                  </w14:solidFill>
                </w14:textFill>
              </w:rPr>
            </w:pPr>
            <w:r>
              <w:rPr>
                <w:rFonts w:hint="eastAsia" w:ascii="Times New Roman" w:hAnsi="Times New Roman" w:eastAsia="宋体"/>
                <w:b w:val="0"/>
                <w:bCs w:val="0"/>
                <w:color w:val="000000" w:themeColor="text1"/>
                <w:sz w:val="24"/>
                <w:szCs w:val="24"/>
                <w:highlight w:val="none"/>
                <w14:textFill>
                  <w14:solidFill>
                    <w14:schemeClr w14:val="tx1"/>
                  </w14:solidFill>
                </w14:textFill>
              </w:rPr>
              <w:t>同时本项目202</w:t>
            </w:r>
            <w:r>
              <w:rPr>
                <w:rFonts w:hint="eastAsia" w:ascii="Times New Roman" w:hAnsi="Times New Roman" w:eastAsia="宋体"/>
                <w:b w:val="0"/>
                <w:bCs w:val="0"/>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b w:val="0"/>
                <w:bCs w:val="0"/>
                <w:color w:val="000000" w:themeColor="text1"/>
                <w:sz w:val="24"/>
                <w:szCs w:val="24"/>
                <w:highlight w:val="none"/>
                <w14:textFill>
                  <w14:solidFill>
                    <w14:schemeClr w14:val="tx1"/>
                  </w14:solidFill>
                </w14:textFill>
              </w:rPr>
              <w:t>年</w:t>
            </w:r>
            <w:r>
              <w:rPr>
                <w:rFonts w:hint="eastAsia" w:ascii="Times New Roman" w:hAnsi="Times New Roman" w:eastAsia="宋体"/>
                <w:b w:val="0"/>
                <w:bCs w:val="0"/>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 w:val="0"/>
                <w:bCs w:val="0"/>
                <w:color w:val="000000" w:themeColor="text1"/>
                <w:sz w:val="24"/>
                <w:szCs w:val="24"/>
                <w:highlight w:val="none"/>
                <w14:textFill>
                  <w14:solidFill>
                    <w14:schemeClr w14:val="tx1"/>
                  </w14:solidFill>
                </w14:textFill>
              </w:rPr>
              <w:t>月1</w:t>
            </w:r>
            <w:r>
              <w:rPr>
                <w:rFonts w:hint="eastAsia" w:ascii="Times New Roman" w:hAnsi="Times New Roman" w:eastAsia="宋体"/>
                <w:b w:val="0"/>
                <w:bCs w:val="0"/>
                <w:color w:val="000000" w:themeColor="text1"/>
                <w:sz w:val="24"/>
                <w:szCs w:val="24"/>
                <w:highlight w:val="none"/>
                <w:lang w:val="en-US" w:eastAsia="zh-CN"/>
                <w14:textFill>
                  <w14:solidFill>
                    <w14:schemeClr w14:val="tx1"/>
                  </w14:solidFill>
                </w14:textFill>
              </w:rPr>
              <w:t>4</w:t>
            </w:r>
            <w:r>
              <w:rPr>
                <w:rFonts w:hint="eastAsia" w:ascii="Times New Roman" w:hAnsi="Times New Roman" w:eastAsia="宋体"/>
                <w:b w:val="0"/>
                <w:bCs w:val="0"/>
                <w:color w:val="000000" w:themeColor="text1"/>
                <w:sz w:val="24"/>
                <w:szCs w:val="24"/>
                <w:highlight w:val="none"/>
                <w14:textFill>
                  <w14:solidFill>
                    <w14:schemeClr w14:val="tx1"/>
                  </w14:solidFill>
                </w14:textFill>
              </w:rPr>
              <w:t>日经蓬溪县行政审批局备案，备案号为：川投资备【2209-510921-99-01-775415】FGQB-0121号。</w:t>
            </w:r>
          </w:p>
          <w:p w14:paraId="47783FD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因此，本项目的建设符合国家和地方现行产业政策。</w:t>
            </w:r>
          </w:p>
          <w:p w14:paraId="0923F86C">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二、土地利用规划符合性分析</w:t>
            </w:r>
          </w:p>
          <w:p w14:paraId="2CC4012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本项目位于本项目位于四川省遂宁市蓬溪县大石镇偏马村一社，场址中心点坐标（</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E</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105°37′49.578″，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30°39′29.020″</w:t>
            </w: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），本项目占地面积共计</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42000m</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，其中部分</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租赁蓬溪县大石镇人民政府偏马村一社集体建设用地（下图中绿色区域；本项目临时用地），用地面积</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36.48亩（约25028.56m</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）；部分场地（</w:t>
            </w:r>
            <w:r>
              <w:rPr>
                <w:rFonts w:hint="eastAsia" w:ascii="Times New Roman" w:hAnsi="Times New Roman" w:eastAsia="宋体"/>
                <w:color w:val="000000" w:themeColor="text1"/>
                <w:sz w:val="24"/>
                <w:szCs w:val="24"/>
                <w:highlight w:val="none"/>
                <w:lang w:eastAsia="zh-CN"/>
                <w14:textFill>
                  <w14:solidFill>
                    <w14:schemeClr w14:val="tx1"/>
                  </w14:solidFill>
                </w14:textFill>
              </w:rPr>
              <w:t>下图中蓝色区域及临时道路，共约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16971.44m</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）位于《G42线南充至成都段高速公路扩容工程》项目用地红线内（</w:t>
            </w:r>
            <w:r>
              <w:rPr>
                <w:rFonts w:hint="eastAsia" w:ascii="Times New Roman" w:hAnsi="Times New Roman" w:eastAsia="宋体"/>
                <w:color w:val="000000" w:themeColor="text1"/>
                <w:sz w:val="24"/>
                <w:szCs w:val="24"/>
                <w:highlight w:val="none"/>
                <w:lang w:eastAsia="zh-CN"/>
                <w14:textFill>
                  <w14:solidFill>
                    <w14:schemeClr w14:val="tx1"/>
                  </w14:solidFill>
                </w14:textFill>
              </w:rPr>
              <w:t>下图中红色区域</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722391A9">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4874260" cy="3024505"/>
                  <wp:effectExtent l="0" t="0" r="254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7"/>
                          <a:stretch>
                            <a:fillRect/>
                          </a:stretch>
                        </pic:blipFill>
                        <pic:spPr>
                          <a:xfrm>
                            <a:off x="0" y="0"/>
                            <a:ext cx="4874260" cy="3024505"/>
                          </a:xfrm>
                          <a:prstGeom prst="rect">
                            <a:avLst/>
                          </a:prstGeom>
                          <a:noFill/>
                          <a:ln>
                            <a:noFill/>
                          </a:ln>
                        </pic:spPr>
                      </pic:pic>
                    </a:graphicData>
                  </a:graphic>
                </wp:inline>
              </w:drawing>
            </w:r>
          </w:p>
          <w:p w14:paraId="73FC80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根据蓬溪县自然资源和规划局为本项目出具的临时用地许可证（蓬自然咨规〔</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本项目建设区域临时用地土地用途为拌合站、制梁场、人员驻地、构件加工场。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本项目建设符合土地利用规划。</w:t>
            </w:r>
          </w:p>
          <w:p w14:paraId="4D6C70B2">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lang w:eastAsia="zh-CN"/>
                <w14:textFill>
                  <w14:solidFill>
                    <w14:schemeClr w14:val="tx1"/>
                  </w14:solidFill>
                </w14:textFill>
              </w:rPr>
              <w:t>三</w:t>
            </w:r>
            <w:r>
              <w:rPr>
                <w:rFonts w:hint="eastAsia" w:ascii="Times New Roman" w:hAnsi="Times New Roman" w:eastAsia="宋体"/>
                <w:b/>
                <w:bCs/>
                <w:color w:val="000000" w:themeColor="text1"/>
                <w:sz w:val="24"/>
                <w:szCs w:val="24"/>
                <w:highlight w:val="none"/>
                <w14:textFill>
                  <w14:solidFill>
                    <w14:schemeClr w14:val="tx1"/>
                  </w14:solidFill>
                </w14:textFill>
              </w:rPr>
              <w:t>、“三线一单”符合性分析</w:t>
            </w:r>
          </w:p>
          <w:p w14:paraId="42E3F10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根据四川省生态环境厅办公室《关于印发&lt;产业园区规划环评“三线一单”符合性分析技术要点（试行）&gt;和&lt;项目环评“三线一单”符合性分析技术要点（试行）&gt;的通知》（川环办函[2021]469号），</w: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本项目位于</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产业园区外，</w: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因此，本项目应</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需分析与“三线一单”的符合性。</w:t>
            </w:r>
          </w:p>
          <w:p w14:paraId="158C06D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both"/>
              <w:textAlignment w:val="auto"/>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1、项目所在环境管控单元</w:t>
            </w:r>
          </w:p>
          <w:p w14:paraId="32CFB92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根据《遂宁市人民政府关于落实生态保护红线、环境质量底线、资源利用上线和生态环境准入清单实施生态环境分区管控的通知》（遂府函[2021]74号），</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本项目</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位于一般</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管控单元</w: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w:t>
            </w:r>
          </w:p>
          <w:p w14:paraId="4152A6A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宋体" w:hAnsi="Courier New" w:eastAsia="宋体" w:cs="Times New Roman"/>
                <w:color w:val="000000" w:themeColor="text1"/>
                <w:kern w:val="2"/>
                <w:sz w:val="21"/>
                <w:szCs w:val="20"/>
                <w:highlight w:val="none"/>
                <w:lang w:val="en-US" w:eastAsia="zh-CN" w:bidi="ar-SA"/>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2700655</wp:posOffset>
                      </wp:positionH>
                      <wp:positionV relativeFrom="paragraph">
                        <wp:posOffset>887095</wp:posOffset>
                      </wp:positionV>
                      <wp:extent cx="882015" cy="294640"/>
                      <wp:effectExtent l="96520" t="5080" r="12065" b="462280"/>
                      <wp:wrapNone/>
                      <wp:docPr id="15" name="自选图形 1030"/>
                      <wp:cNvGraphicFramePr/>
                      <a:graphic xmlns:a="http://schemas.openxmlformats.org/drawingml/2006/main">
                        <a:graphicData uri="http://schemas.microsoft.com/office/word/2010/wordprocessingShape">
                          <wps:wsp>
                            <wps:cNvSpPr/>
                            <wps:spPr>
                              <a:xfrm>
                                <a:off x="0" y="0"/>
                                <a:ext cx="882015" cy="294640"/>
                              </a:xfrm>
                              <a:prstGeom prst="wedgeRectCallout">
                                <a:avLst>
                                  <a:gd name="adj1" fmla="val -58927"/>
                                  <a:gd name="adj2" fmla="val 195474"/>
                                </a:avLst>
                              </a:prstGeom>
                              <a:solidFill>
                                <a:srgbClr val="FFFFFF"/>
                              </a:solidFill>
                              <a:ln w="9525" cap="flat" cmpd="sng">
                                <a:solidFill>
                                  <a:srgbClr val="000000"/>
                                </a:solidFill>
                                <a:prstDash val="solid"/>
                                <a:miter/>
                                <a:headEnd type="none" w="med" len="med"/>
                                <a:tailEnd type="none" w="med" len="med"/>
                              </a:ln>
                            </wps:spPr>
                            <wps:txbx>
                              <w:txbxContent>
                                <w:p w14:paraId="0E94DFDE">
                                  <w:pPr>
                                    <w:rPr>
                                      <w:rFonts w:hint="eastAsia" w:ascii="Times New Roman" w:hAnsi="Times New Roman" w:eastAsia="宋体"/>
                                      <w:b/>
                                      <w:bCs/>
                                      <w:szCs w:val="24"/>
                                    </w:rPr>
                                  </w:pPr>
                                  <w:r>
                                    <w:rPr>
                                      <w:rFonts w:hint="eastAsia" w:ascii="Times New Roman" w:hAnsi="Times New Roman" w:eastAsia="宋体"/>
                                      <w:b/>
                                      <w:bCs/>
                                      <w:szCs w:val="24"/>
                                    </w:rPr>
                                    <w:t>本项目位置</w:t>
                                  </w:r>
                                </w:p>
                              </w:txbxContent>
                            </wps:txbx>
                            <wps:bodyPr wrap="square" upright="1"/>
                          </wps:wsp>
                        </a:graphicData>
                      </a:graphic>
                    </wp:anchor>
                  </w:drawing>
                </mc:Choice>
                <mc:Fallback>
                  <w:pict>
                    <v:shape id="自选图形 1030" o:spid="_x0000_s1026" o:spt="61" type="#_x0000_t61" style="position:absolute;left:0pt;margin-left:212.65pt;margin-top:69.85pt;height:23.2pt;width:69.45pt;z-index:251662336;mso-width-relative:page;mso-height-relative:page;" fillcolor="#FFFFFF" filled="t" stroked="t" coordsize="21600,21600" o:gfxdata="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uEYdu3AAAAAsBAAAPAAAAAAAAAAEA&#10;IAAAACIAAABkcnMvZG93bnJldi54bWxQSwECFAAUAAAACACHTuJAxycAtUQCAACfBAAADgAAAAAA&#10;AAABACAAAAArAQAAZHJzL2Uyb0RvYy54bWxQSwUGAAAAAAYABgBZAQAA4QUAAAAA&#10;" adj="-1928,53022">
                      <v:fill on="t" focussize="0,0"/>
                      <v:stroke color="#000000" joinstyle="miter"/>
                      <v:imagedata o:title=""/>
                      <o:lock v:ext="edit" aspectratio="f"/>
                      <v:textbox>
                        <w:txbxContent>
                          <w:p w14:paraId="0E94DFDE">
                            <w:pPr>
                              <w:rPr>
                                <w:rFonts w:hint="eastAsia" w:ascii="Times New Roman" w:hAnsi="Times New Roman" w:eastAsia="宋体"/>
                                <w:b/>
                                <w:bCs/>
                                <w:szCs w:val="24"/>
                              </w:rPr>
                            </w:pPr>
                            <w:r>
                              <w:rPr>
                                <w:rFonts w:hint="eastAsia" w:ascii="Times New Roman" w:hAnsi="Times New Roman" w:eastAsia="宋体"/>
                                <w:b/>
                                <w:bCs/>
                                <w:szCs w:val="24"/>
                              </w:rPr>
                              <w:t>本项目位置</w:t>
                            </w:r>
                          </w:p>
                        </w:txbxContent>
                      </v:textbox>
                    </v:shape>
                  </w:pict>
                </mc:Fallback>
              </mc:AlternateContent>
            </w:r>
            <w:r>
              <w:rPr>
                <w:rFonts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drawing>
                <wp:inline distT="0" distB="0" distL="114300" distR="114300">
                  <wp:extent cx="4204970" cy="2980055"/>
                  <wp:effectExtent l="0" t="0" r="5080" b="10795"/>
                  <wp:docPr id="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3"/>
                          <pic:cNvPicPr>
                            <a:picLocks noChangeAspect="1"/>
                          </pic:cNvPicPr>
                        </pic:nvPicPr>
                        <pic:blipFill>
                          <a:blip r:embed="rId8"/>
                          <a:stretch>
                            <a:fillRect/>
                          </a:stretch>
                        </pic:blipFill>
                        <pic:spPr>
                          <a:xfrm>
                            <a:off x="0" y="0"/>
                            <a:ext cx="4204970" cy="2980055"/>
                          </a:xfrm>
                          <a:prstGeom prst="rect">
                            <a:avLst/>
                          </a:prstGeom>
                          <a:noFill/>
                          <a:ln>
                            <a:noFill/>
                          </a:ln>
                        </pic:spPr>
                      </pic:pic>
                    </a:graphicData>
                  </a:graphic>
                </wp:inline>
              </w:drawing>
            </w:r>
          </w:p>
          <w:p w14:paraId="653AA3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图1-1    遂宁市环境管控单元图</w:t>
            </w:r>
          </w:p>
          <w:p w14:paraId="7FF70793">
            <w:pPr>
              <w:widowControl w:val="0"/>
              <w:spacing w:line="360" w:lineRule="auto"/>
              <w:ind w:firstLine="480" w:firstLineChars="200"/>
              <w:jc w:val="both"/>
              <w:rPr>
                <w:rFonts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四川省政务服务网的“三线一单”符合性分析模块</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查询结果如下：</w:t>
            </w:r>
          </w:p>
          <w:p w14:paraId="11E1E7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drawing>
                <wp:inline distT="0" distB="0" distL="114300" distR="114300">
                  <wp:extent cx="4198620" cy="2515870"/>
                  <wp:effectExtent l="0" t="0" r="11430" b="17780"/>
                  <wp:docPr id="8" name="图片 8"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捕获"/>
                          <pic:cNvPicPr>
                            <a:picLocks noChangeAspect="1"/>
                          </pic:cNvPicPr>
                        </pic:nvPicPr>
                        <pic:blipFill>
                          <a:blip r:embed="rId9"/>
                          <a:srcRect l="2931" t="22955" r="2352" b="357"/>
                          <a:stretch>
                            <a:fillRect/>
                          </a:stretch>
                        </pic:blipFill>
                        <pic:spPr>
                          <a:xfrm>
                            <a:off x="0" y="0"/>
                            <a:ext cx="4198620" cy="2515870"/>
                          </a:xfrm>
                          <a:prstGeom prst="rect">
                            <a:avLst/>
                          </a:prstGeom>
                        </pic:spPr>
                      </pic:pic>
                    </a:graphicData>
                  </a:graphic>
                </wp:inline>
              </w:drawing>
            </w:r>
          </w:p>
          <w:p w14:paraId="006B467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图1-</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2</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 xml:space="preserve">    四川省政务服务网的“三线一单”符合性分析模块查询</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结果</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w:t>
            </w:r>
          </w:p>
          <w:p w14:paraId="5C8BC07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Helvetica" w:cs="Times New Roman"/>
                <w:color w:val="000000" w:themeColor="text1"/>
                <w:kern w:val="2"/>
                <w:sz w:val="24"/>
                <w:szCs w:val="18"/>
                <w:highlight w:val="none"/>
                <w:lang w:val="en-US" w:eastAsia="zh-CN" w:bidi="ar-SA"/>
                <w14:textFill>
                  <w14:solidFill>
                    <w14:schemeClr w14:val="tx1"/>
                  </w14:solidFill>
                </w14:textFill>
              </w:rPr>
            </w:pPr>
            <w:r>
              <w:rPr>
                <w:rFonts w:ascii="Times New Roman" w:hAnsi="Times New Roman" w:eastAsia="Helvetica" w:cs="Times New Roman"/>
                <w:color w:val="000000" w:themeColor="text1"/>
                <w:kern w:val="2"/>
                <w:sz w:val="24"/>
                <w:szCs w:val="18"/>
                <w:highlight w:val="none"/>
                <w:lang w:val="en-US" w:eastAsia="zh-CN" w:bidi="ar-SA"/>
                <w14:textFill>
                  <w14:solidFill>
                    <w14:schemeClr w14:val="tx1"/>
                  </w14:solidFill>
                </w14:textFill>
              </w:rPr>
              <w:t>项目与管控单元相对位置如下图所示：</w:t>
            </w:r>
          </w:p>
          <w:p w14:paraId="74B8765E">
            <w:pPr>
              <w:widowControl w:val="0"/>
              <w:spacing w:line="360" w:lineRule="auto"/>
              <w:jc w:val="cente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宋体" w:hAnsi="Courier New" w:eastAsia="宋体" w:cs="Times New Roman"/>
                <w:color w:val="000000" w:themeColor="text1"/>
                <w:kern w:val="2"/>
                <w:sz w:val="21"/>
                <w:szCs w:val="20"/>
                <w:highlight w:val="none"/>
                <w:lang w:val="en-US" w:eastAsia="zh-CN" w:bidi="ar-SA"/>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779145</wp:posOffset>
                      </wp:positionH>
                      <wp:positionV relativeFrom="paragraph">
                        <wp:posOffset>432435</wp:posOffset>
                      </wp:positionV>
                      <wp:extent cx="882015" cy="294640"/>
                      <wp:effectExtent l="5080" t="5080" r="8255" b="500380"/>
                      <wp:wrapNone/>
                      <wp:docPr id="21" name="自选图形 1030"/>
                      <wp:cNvGraphicFramePr/>
                      <a:graphic xmlns:a="http://schemas.openxmlformats.org/drawingml/2006/main">
                        <a:graphicData uri="http://schemas.microsoft.com/office/word/2010/wordprocessingShape">
                          <wps:wsp>
                            <wps:cNvSpPr/>
                            <wps:spPr>
                              <a:xfrm>
                                <a:off x="0" y="0"/>
                                <a:ext cx="882015" cy="294640"/>
                              </a:xfrm>
                              <a:prstGeom prst="wedgeRectCallout">
                                <a:avLst>
                                  <a:gd name="adj1" fmla="val 31785"/>
                                  <a:gd name="adj2" fmla="val 211637"/>
                                </a:avLst>
                              </a:prstGeom>
                              <a:solidFill>
                                <a:srgbClr val="FFFFFF"/>
                              </a:solidFill>
                              <a:ln w="9525" cap="flat" cmpd="sng">
                                <a:solidFill>
                                  <a:srgbClr val="000000"/>
                                </a:solidFill>
                                <a:prstDash val="solid"/>
                                <a:miter/>
                                <a:headEnd type="none" w="med" len="med"/>
                                <a:tailEnd type="none" w="med" len="med"/>
                              </a:ln>
                            </wps:spPr>
                            <wps:txbx>
                              <w:txbxContent>
                                <w:p w14:paraId="422FBE3A">
                                  <w:pPr>
                                    <w:rPr>
                                      <w:rFonts w:hint="eastAsia" w:ascii="Times New Roman" w:hAnsi="Times New Roman" w:eastAsia="宋体"/>
                                      <w:b/>
                                      <w:bCs/>
                                      <w:szCs w:val="24"/>
                                    </w:rPr>
                                  </w:pPr>
                                  <w:r>
                                    <w:rPr>
                                      <w:rFonts w:hint="eastAsia" w:ascii="Times New Roman" w:hAnsi="Times New Roman" w:eastAsia="宋体"/>
                                      <w:b/>
                                      <w:bCs/>
                                      <w:szCs w:val="24"/>
                                    </w:rPr>
                                    <w:t>本项目位置</w:t>
                                  </w:r>
                                </w:p>
                              </w:txbxContent>
                            </wps:txbx>
                            <wps:bodyPr wrap="square" upright="1"/>
                          </wps:wsp>
                        </a:graphicData>
                      </a:graphic>
                    </wp:anchor>
                  </w:drawing>
                </mc:Choice>
                <mc:Fallback>
                  <w:pict>
                    <v:shape id="自选图形 1030" o:spid="_x0000_s1026" o:spt="61" type="#_x0000_t61" style="position:absolute;left:0pt;margin-left:61.35pt;margin-top:34.05pt;height:23.2pt;width:69.45pt;z-index:251663360;mso-width-relative:page;mso-height-relative:page;" fillcolor="#FFFFFF" filled="t" stroked="t" coordsize="21600,21600" o:gfxdata="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tYv8QtgAAAAKAQAADwAAAAAAAAABACAAAAAi&#10;AAAAZHJzL2Rvd25yZXYueG1sUEsBAhQAFAAAAAgAh07iQAzr05xDAgAAngQAAA4AAAAAAAAAAQAg&#10;AAAAJwEAAGRycy9lMm9Eb2MueG1sUEsFBgAAAAAGAAYAWQEAANwFAAAAAA==&#10;" adj="17666,56514">
                      <v:fill on="t" focussize="0,0"/>
                      <v:stroke color="#000000" joinstyle="miter"/>
                      <v:imagedata o:title=""/>
                      <o:lock v:ext="edit" aspectratio="f"/>
                      <v:textbox>
                        <w:txbxContent>
                          <w:p w14:paraId="422FBE3A">
                            <w:pPr>
                              <w:rPr>
                                <w:rFonts w:hint="eastAsia" w:ascii="Times New Roman" w:hAnsi="Times New Roman" w:eastAsia="宋体"/>
                                <w:b/>
                                <w:bCs/>
                                <w:szCs w:val="24"/>
                              </w:rPr>
                            </w:pPr>
                            <w:r>
                              <w:rPr>
                                <w:rFonts w:hint="eastAsia" w:ascii="Times New Roman" w:hAnsi="Times New Roman" w:eastAsia="宋体"/>
                                <w:b/>
                                <w:bCs/>
                                <w:szCs w:val="24"/>
                              </w:rPr>
                              <w:t>本项目位置</w:t>
                            </w:r>
                          </w:p>
                        </w:txbxContent>
                      </v:textbox>
                    </v:shape>
                  </w:pict>
                </mc:Fallback>
              </mc:AlternateConten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drawing>
                <wp:inline distT="0" distB="0" distL="114300" distR="114300">
                  <wp:extent cx="4161790" cy="2659380"/>
                  <wp:effectExtent l="0" t="0" r="10160" b="7620"/>
                  <wp:docPr id="11" name="图片 11" descr="捕获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捕获1"/>
                          <pic:cNvPicPr>
                            <a:picLocks noChangeAspect="1"/>
                          </pic:cNvPicPr>
                        </pic:nvPicPr>
                        <pic:blipFill>
                          <a:blip r:embed="rId10"/>
                          <a:stretch>
                            <a:fillRect/>
                          </a:stretch>
                        </pic:blipFill>
                        <pic:spPr>
                          <a:xfrm>
                            <a:off x="0" y="0"/>
                            <a:ext cx="4161790" cy="2659380"/>
                          </a:xfrm>
                          <a:prstGeom prst="rect">
                            <a:avLst/>
                          </a:prstGeom>
                        </pic:spPr>
                      </pic:pic>
                    </a:graphicData>
                  </a:graphic>
                </wp:inline>
              </w:drawing>
            </w:r>
          </w:p>
          <w:p w14:paraId="260637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图1-</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3</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 xml:space="preserve">    项目与管控单元相对位置图</w:t>
            </w:r>
          </w:p>
          <w:p w14:paraId="406877E0">
            <w:pPr>
              <w:widowControl w:val="0"/>
              <w:spacing w:line="360" w:lineRule="auto"/>
              <w:ind w:firstLine="482" w:firstLineChars="200"/>
              <w:jc w:val="both"/>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2、生态环境准入清单符合性分析</w:t>
            </w:r>
          </w:p>
          <w:p w14:paraId="36AE6508">
            <w:pPr>
              <w:widowControl w:val="0"/>
              <w:jc w:val="cente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表1-</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2</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 xml:space="preserve">    本项目</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生态环境准入</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清单管控要求符合性分析</w:t>
            </w:r>
          </w:p>
          <w:tbl>
            <w:tblPr>
              <w:tblStyle w:val="20"/>
              <w:tblW w:w="493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85"/>
              <w:gridCol w:w="358"/>
              <w:gridCol w:w="874"/>
              <w:gridCol w:w="4303"/>
              <w:gridCol w:w="1305"/>
              <w:gridCol w:w="426"/>
              <w:gridCol w:w="3"/>
            </w:tblGrid>
            <w:tr w14:paraId="65A0B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tblHeader/>
                <w:jc w:val="center"/>
              </w:trPr>
              <w:tc>
                <w:tcPr>
                  <w:tcW w:w="3896" w:type="pct"/>
                  <w:gridSpan w:val="4"/>
                  <w:shd w:val="clear" w:color="auto" w:fill="auto"/>
                  <w:vAlign w:val="center"/>
                </w:tcPr>
                <w:p w14:paraId="248035A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“三线一单”的具体要求</w:t>
                  </w:r>
                </w:p>
              </w:tc>
              <w:tc>
                <w:tcPr>
                  <w:tcW w:w="830" w:type="pct"/>
                  <w:vMerge w:val="restart"/>
                  <w:shd w:val="clear" w:color="auto" w:fill="auto"/>
                  <w:vAlign w:val="center"/>
                </w:tcPr>
                <w:p w14:paraId="7FA943D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t>项目对应情况介绍</w:t>
                  </w:r>
                </w:p>
              </w:tc>
              <w:tc>
                <w:tcPr>
                  <w:tcW w:w="271" w:type="pct"/>
                  <w:vMerge w:val="restart"/>
                  <w:shd w:val="clear" w:color="auto" w:fill="auto"/>
                  <w:vAlign w:val="center"/>
                </w:tcPr>
                <w:p w14:paraId="35C771A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t>符合性</w:t>
                  </w:r>
                </w:p>
              </w:tc>
            </w:tr>
            <w:tr w14:paraId="7E977F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tblHeader/>
                <w:jc w:val="center"/>
              </w:trPr>
              <w:tc>
                <w:tcPr>
                  <w:tcW w:w="1156" w:type="pct"/>
                  <w:gridSpan w:val="3"/>
                  <w:shd w:val="clear" w:color="auto" w:fill="auto"/>
                  <w:vAlign w:val="center"/>
                </w:tcPr>
                <w:p w14:paraId="6832B91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t>类别</w:t>
                  </w:r>
                </w:p>
              </w:tc>
              <w:tc>
                <w:tcPr>
                  <w:tcW w:w="2739" w:type="pct"/>
                  <w:shd w:val="clear" w:color="auto" w:fill="auto"/>
                  <w:vAlign w:val="center"/>
                </w:tcPr>
                <w:p w14:paraId="164C9D5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t>对应管控要求</w:t>
                  </w:r>
                </w:p>
              </w:tc>
              <w:tc>
                <w:tcPr>
                  <w:tcW w:w="830" w:type="pct"/>
                  <w:vMerge w:val="continue"/>
                  <w:shd w:val="clear" w:color="auto" w:fill="auto"/>
                  <w:vAlign w:val="center"/>
                </w:tcPr>
                <w:p w14:paraId="68BB564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71" w:type="pct"/>
                  <w:vMerge w:val="continue"/>
                  <w:shd w:val="clear" w:color="auto" w:fill="auto"/>
                  <w:vAlign w:val="center"/>
                </w:tcPr>
                <w:p w14:paraId="08A03C6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r>
            <w:tr w14:paraId="5F912C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restart"/>
                  <w:shd w:val="clear" w:color="auto" w:fill="auto"/>
                  <w:vAlign w:val="center"/>
                </w:tcPr>
                <w:p w14:paraId="6506C88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ZH51092130001</w:t>
                  </w:r>
                </w:p>
              </w:tc>
              <w:tc>
                <w:tcPr>
                  <w:tcW w:w="227" w:type="pct"/>
                  <w:vMerge w:val="restart"/>
                  <w:shd w:val="clear" w:color="auto" w:fill="auto"/>
                  <w:vAlign w:val="center"/>
                </w:tcPr>
                <w:p w14:paraId="0D47A2E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普适性清单管控要求</w:t>
                  </w:r>
                </w:p>
              </w:tc>
              <w:tc>
                <w:tcPr>
                  <w:tcW w:w="556" w:type="pct"/>
                  <w:shd w:val="clear" w:color="auto" w:fill="auto"/>
                  <w:vAlign w:val="center"/>
                </w:tcPr>
                <w:p w14:paraId="7D3FF94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2825ACF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禁止开发建设活动的要求</w:t>
                  </w:r>
                </w:p>
                <w:p w14:paraId="6B9ED91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1.禁止新建、扩建《产业结构调整指导目录（2019年本）》明确的淘汰类项目。</w:t>
                  </w:r>
                </w:p>
                <w:p w14:paraId="0508D70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2.禁止引入《市场准入负面清单（2019年版）》禁止准入类事项。</w:t>
                  </w:r>
                </w:p>
                <w:p w14:paraId="1FC506D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3.禁止在长江干支流岸线一公里范围内新建、扩建化工园区和化工项目。禁止在长江干流岸线三公里范围内和重要支流岸线一公里范围内新建、改建、扩建尾矿库；但是以提升安全、生态环境保护水平为目</w:t>
                  </w:r>
                  <w:r>
                    <w:rPr>
                      <w:rFonts w:hint="eastAsia" w:ascii="Times New Roman" w:hAnsi="Times New Roman" w:eastAsia="宋体" w:cs="Times New Roman"/>
                      <w:color w:val="000000" w:themeColor="text1"/>
                      <w:szCs w:val="21"/>
                      <w:highlight w:val="none"/>
                      <w:lang w:eastAsia="zh-CN"/>
                      <w14:textFill>
                        <w14:solidFill>
                          <w14:schemeClr w14:val="tx1"/>
                        </w14:solidFill>
                      </w14:textFill>
                    </w:rPr>
                    <w:t>的</w:t>
                  </w:r>
                  <w:r>
                    <w:rPr>
                      <w:rFonts w:hint="default" w:ascii="Times New Roman" w:hAnsi="Times New Roman" w:eastAsia="宋体" w:cs="Times New Roman"/>
                      <w:color w:val="000000" w:themeColor="text1"/>
                      <w:szCs w:val="21"/>
                      <w:highlight w:val="none"/>
                      <w14:textFill>
                        <w14:solidFill>
                          <w14:schemeClr w14:val="tx1"/>
                        </w14:solidFill>
                      </w14:textFill>
                    </w:rPr>
                    <w:t>改建除外。</w:t>
                  </w:r>
                </w:p>
                <w:p w14:paraId="6453CD2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4.禁止在河道、湖泊管理范围内建设妨碍行洪的建筑物、构筑物，倾倒垃圾、渣土，从事影响河势稳定、危害河岸堤防安全和其他妨碍河道行洪的活动。禁止在行洪河道内种植阻碍行洪的林木和高秆作物。</w:t>
                  </w:r>
                </w:p>
                <w:p w14:paraId="6A830F3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5.严格管控沿江沿河工程建设废弃渣土场的设置，禁止违法占用河道。</w:t>
                  </w:r>
                </w:p>
                <w:p w14:paraId="7E346D1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6.禁止在法律法规规定的禁采区内开采矿产；禁止土法采、选、冶严重污染环境的矿产资源。</w:t>
                  </w:r>
                </w:p>
                <w:p w14:paraId="108BA17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7.坚持最严格的耕地保护制度，对全部耕地按限制开发的要求进行管理，对全部永久基本农田按禁止开发的要求进行管理。</w:t>
                  </w:r>
                </w:p>
                <w:p w14:paraId="5EC3C5C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限制开发建设活动的要求</w:t>
                  </w:r>
                </w:p>
                <w:p w14:paraId="0901E22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1.单元内如新布局工业园区，应充分论证选址的环境合理性。</w:t>
                  </w:r>
                </w:p>
                <w:p w14:paraId="7A20546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大气环境布局敏感区应严格限制布设以钢铁、建材、石化、化工、有色等高污染行业为主导产业的园区，大气环境弱扩散区谨慎布局垃圾发电、危废焚烧等以大气污染为主的企业；水环境城镇生活污染、农业污染重点管控区应严格限制布设以电力、钢铁、造纸、石化、化工、印染、化纤等高耗水行业为主导产业的园区。</w:t>
                  </w:r>
                </w:p>
                <w:p w14:paraId="3F99BCF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3.严控新增建设用地规模和非农建设占用耕地。</w:t>
                  </w:r>
                </w:p>
                <w:p w14:paraId="138DA5E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4.严格限制农用地转为建设用地，控制建设用地总量，对耕地实行特殊保护。</w:t>
                  </w:r>
                </w:p>
                <w:p w14:paraId="15F574E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5.涉及的法定保护地，严格按照国家及地方法律法规、管理办法等相关要求进行控制。配套旅游、基础设施等建设项目，在符合规划和相关保护要求的前提下，应实施生态避让、减缓影响及生态恢复措施。</w:t>
                  </w:r>
                </w:p>
                <w:p w14:paraId="2EB94AE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不符合空间布局要求活动的退出要求</w:t>
                  </w:r>
                </w:p>
                <w:p w14:paraId="57742F9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1.全面取缔禁养区内规模化畜禽养殖场。</w:t>
                  </w:r>
                </w:p>
                <w:p w14:paraId="3650BC4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2.基本完成全域内“散乱污”企业整治工作。</w:t>
                  </w:r>
                </w:p>
                <w:p w14:paraId="1CB2199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3.涉及的法定保护地，现有不符合相关保护区法律法规和规划的项目，应限期整改或关闭。</w:t>
                  </w:r>
                </w:p>
                <w:p w14:paraId="44CBEEE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4.畜禽养殖严格按照遂宁市各区县畜禽养殖区域划定方案执行，依法关闭或搬迁禁养区内的畜禽养殖场（小区）和养殖专业户。</w:t>
                  </w:r>
                </w:p>
                <w:p w14:paraId="4287400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其他空间布局约束要求</w:t>
                  </w:r>
                </w:p>
                <w:p w14:paraId="5DE44FF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暂无</w:t>
                  </w:r>
                </w:p>
              </w:tc>
              <w:tc>
                <w:tcPr>
                  <w:tcW w:w="830" w:type="pct"/>
                  <w:shd w:val="clear" w:color="auto" w:fill="auto"/>
                  <w:vAlign w:val="center"/>
                </w:tcPr>
                <w:p w14:paraId="7D2C6DE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本项目属于水泥制品制造类项目，为</w:t>
                  </w:r>
                  <w:r>
                    <w:rPr>
                      <w:rFonts w:hint="default" w:ascii="Times New Roman" w:hAnsi="Times New Roman" w:eastAsia="宋体" w:cs="Times New Roman"/>
                      <w:color w:val="000000" w:themeColor="text1"/>
                      <w:szCs w:val="21"/>
                      <w:highlight w:val="none"/>
                      <w14:textFill>
                        <w14:solidFill>
                          <w14:schemeClr w14:val="tx1"/>
                        </w14:solidFill>
                      </w14:textFill>
                    </w:rPr>
                    <w:t>《产业结构调整指导目录（2019年本）》</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中允许类建设项目，不属于</w:t>
                  </w:r>
                  <w:r>
                    <w:rPr>
                      <w:rFonts w:hint="default" w:ascii="Times New Roman" w:hAnsi="Times New Roman" w:eastAsia="宋体" w:cs="Times New Roman"/>
                      <w:color w:val="000000" w:themeColor="text1"/>
                      <w:szCs w:val="21"/>
                      <w:highlight w:val="none"/>
                      <w14:textFill>
                        <w14:solidFill>
                          <w14:schemeClr w14:val="tx1"/>
                        </w14:solidFill>
                      </w14:textFill>
                    </w:rPr>
                    <w:t>《市场准入负面清单（2019年版）》禁止准入类</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项目。本项目属于</w:t>
                  </w:r>
                  <w:r>
                    <w:rPr>
                      <w:rFonts w:hint="default" w:ascii="Times New Roman" w:hAnsi="Times New Roman" w:eastAsia="宋体" w:cs="Times New Roman"/>
                      <w:color w:val="000000" w:themeColor="text1"/>
                      <w:szCs w:val="21"/>
                      <w:highlight w:val="none"/>
                      <w14:textFill>
                        <w14:solidFill>
                          <w14:schemeClr w14:val="tx1"/>
                        </w14:solidFill>
                      </w14:textFill>
                    </w:rPr>
                    <w:t>化工园区和化工</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Cs w:val="21"/>
                      <w:highlight w:val="none"/>
                      <w14:textFill>
                        <w14:solidFill>
                          <w14:schemeClr w14:val="tx1"/>
                        </w14:solidFill>
                      </w14:textFill>
                    </w:rPr>
                    <w:t>尾矿库</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类</w:t>
                  </w:r>
                  <w:r>
                    <w:rPr>
                      <w:rFonts w:hint="default" w:ascii="Times New Roman" w:hAnsi="Times New Roman" w:eastAsia="宋体" w:cs="Times New Roman"/>
                      <w:color w:val="000000" w:themeColor="text1"/>
                      <w:szCs w:val="21"/>
                      <w:highlight w:val="none"/>
                      <w14:textFill>
                        <w14:solidFill>
                          <w14:schemeClr w14:val="tx1"/>
                        </w14:solidFill>
                      </w14:textFill>
                    </w:rPr>
                    <w:t>项目</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，不涉及占用河道、耕地。</w:t>
                  </w:r>
                </w:p>
              </w:tc>
              <w:tc>
                <w:tcPr>
                  <w:tcW w:w="271" w:type="pct"/>
                  <w:shd w:val="clear" w:color="auto" w:fill="auto"/>
                  <w:vAlign w:val="center"/>
                </w:tcPr>
                <w:p w14:paraId="59DBABA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6E3471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2" w:type="pct"/>
                  <w:vMerge w:val="continue"/>
                  <w:shd w:val="clear" w:color="auto" w:fill="auto"/>
                  <w:vAlign w:val="center"/>
                </w:tcPr>
                <w:p w14:paraId="7D64915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6B1CE18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45915E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498A16F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允许排放量要求</w:t>
                  </w:r>
                </w:p>
                <w:p w14:paraId="62662AB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暂无</w:t>
                  </w:r>
                </w:p>
                <w:p w14:paraId="6FC4B7C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现有源提标升级改造</w:t>
                  </w:r>
                </w:p>
                <w:p w14:paraId="66443A7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1.水环境：推进各建制镇现有污水处理设施升级改造。</w:t>
                  </w:r>
                </w:p>
                <w:p w14:paraId="1FF6242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2.大气环境：（1）砖瓦行业实施脱硫、除尘升级改造，污染物排放达到《砖瓦工业大气污染物排放标准》相关要求。（2）火电、水泥等行业按相关要求推进大气污染物超低排放和深度治理。</w:t>
                  </w:r>
                </w:p>
                <w:p w14:paraId="1FDA929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其他污染物排放管控要求</w:t>
                  </w:r>
                </w:p>
                <w:p w14:paraId="3A310D7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1.新增源等量或倍量替代：（1）上一年度水环境质量未完成目标的，新建排放水污染的建设项目按照总量管控要求进行倍量削减替代。上一年度空气质量年平均浓度不达标的城市，建设项目新增相关污染物按照总量管控要求进行倍量削减替代。（2）大气环境重点管控区内，新增大气污染物排放的建设项目实施总量削减替代。</w:t>
                  </w:r>
                </w:p>
                <w:p w14:paraId="29606E9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2.污染物排放绩效水平准入要求：（1）基本实现乡镇污水处理设施全覆盖，配套建设污水收集管网，乡镇污水处理率达到50%。（2）新、改扩建规模化畜禽养殖场（小区）要实施雨污分流、粪便污水资源化利用；大型规模养殖场粪污处理设施装备配套率达到100%，畜禽粪污基本实现资源化利用；散养密集区要实行畜禽粪便污水分户收集、集中处理利用。（3）到2025年，畜禽粪污综合利用率达到80%。（4）屠宰项目必须配套污水处理设施或进入城市污水管网。（5）全国主要农作物化肥、农药使用量实现零增长，利用率提高到40%以上，测土配方施肥技术推广覆盖率提高到90%以上，控制农村面源污染，</w:t>
                  </w:r>
                  <w:r>
                    <w:rPr>
                      <w:rFonts w:ascii="宋体" w:hAnsi="宋体" w:eastAsia="宋体" w:cs="宋体"/>
                      <w:sz w:val="24"/>
                      <w:szCs w:val="24"/>
                    </w:rPr>
                    <w:t>采取</w:t>
                  </w:r>
                  <w:r>
                    <w:rPr>
                      <w:rFonts w:hint="default" w:ascii="Times New Roman" w:hAnsi="Times New Roman" w:eastAsia="宋体" w:cs="Times New Roman"/>
                      <w:b w:val="0"/>
                      <w:bCs w:val="0"/>
                      <w:color w:val="000000" w:themeColor="text1"/>
                      <w:szCs w:val="21"/>
                      <w:highlight w:val="none"/>
                      <w14:textFill>
                        <w14:solidFill>
                          <w14:schemeClr w14:val="tx1"/>
                        </w14:solidFill>
                      </w14:textFill>
                    </w:rPr>
                    <w:t>灌排分离等措施控制农田氮磷流失。（6）到2022年，遂宁市中心城区基本建成生活垃圾分类处理系统。到2025年，地级及以上城市基本建成生活垃圾分类处理系统。县级城市、乡镇和农村生活垃圾分类工作取得成效，生活垃圾减量化、资源化、无害化水平显著提高。加快厨余垃圾处置设施建设，鼓励区域统筹规划建设厨余垃圾处置中心，力争2022年实现地级及以上城市厨余垃圾处置设施全覆盖。（7）到2025年，废旧农膜回收利用率达到85%以上。</w:t>
                  </w:r>
                </w:p>
              </w:tc>
              <w:tc>
                <w:tcPr>
                  <w:tcW w:w="830" w:type="pct"/>
                  <w:shd w:val="clear" w:color="auto" w:fill="auto"/>
                  <w:vAlign w:val="center"/>
                </w:tcPr>
                <w:p w14:paraId="490BE05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4"/>
                      <w:highlight w:val="none"/>
                      <w14:textFill>
                        <w14:solidFill>
                          <w14:schemeClr w14:val="tx1"/>
                        </w14:solidFill>
                      </w14:textFill>
                    </w:rPr>
                    <w:t>项目</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实</w:t>
                  </w:r>
                  <w:r>
                    <w:rPr>
                      <w:rFonts w:hint="default" w:ascii="Times New Roman" w:hAnsi="Times New Roman" w:eastAsia="宋体" w:cs="Times New Roman"/>
                      <w:color w:val="000000" w:themeColor="text1"/>
                      <w:sz w:val="21"/>
                      <w:szCs w:val="24"/>
                      <w:highlight w:val="none"/>
                      <w14:textFill>
                        <w14:solidFill>
                          <w14:schemeClr w14:val="tx1"/>
                        </w14:solidFill>
                      </w14:textFill>
                    </w:rPr>
                    <w:t>行</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雨</w:t>
                  </w:r>
                  <w:r>
                    <w:rPr>
                      <w:rFonts w:hint="default" w:ascii="Times New Roman" w:hAnsi="Times New Roman" w:eastAsia="宋体" w:cs="Times New Roman"/>
                      <w:color w:val="000000" w:themeColor="text1"/>
                      <w:sz w:val="21"/>
                      <w:szCs w:val="24"/>
                      <w:highlight w:val="none"/>
                      <w14:textFill>
                        <w14:solidFill>
                          <w14:schemeClr w14:val="tx1"/>
                        </w14:solidFill>
                      </w14:textFill>
                    </w:rPr>
                    <w:t>污</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分</w:t>
                  </w:r>
                  <w:r>
                    <w:rPr>
                      <w:rFonts w:hint="default" w:ascii="Times New Roman" w:hAnsi="Times New Roman" w:eastAsia="宋体" w:cs="Times New Roman"/>
                      <w:color w:val="000000" w:themeColor="text1"/>
                      <w:sz w:val="21"/>
                      <w:szCs w:val="24"/>
                      <w:highlight w:val="none"/>
                      <w14:textFill>
                        <w14:solidFill>
                          <w14:schemeClr w14:val="tx1"/>
                        </w14:solidFill>
                      </w14:textFill>
                    </w:rPr>
                    <w:t>流</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制</w:t>
                  </w:r>
                  <w:r>
                    <w:rPr>
                      <w:rFonts w:hint="default" w:ascii="Times New Roman" w:hAnsi="Times New Roman" w:eastAsia="宋体" w:cs="Times New Roman"/>
                      <w:color w:val="000000" w:themeColor="text1"/>
                      <w:sz w:val="21"/>
                      <w:szCs w:val="24"/>
                      <w:highlight w:val="none"/>
                      <w14:textFill>
                        <w14:solidFill>
                          <w14:schemeClr w14:val="tx1"/>
                        </w14:solidFill>
                      </w14:textFill>
                    </w:rPr>
                    <w:t>，本</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项</w:t>
                  </w:r>
                  <w:r>
                    <w:rPr>
                      <w:rFonts w:hint="default" w:ascii="Times New Roman" w:hAnsi="Times New Roman" w:eastAsia="宋体" w:cs="Times New Roman"/>
                      <w:color w:val="000000" w:themeColor="text1"/>
                      <w:sz w:val="21"/>
                      <w:szCs w:val="24"/>
                      <w:highlight w:val="none"/>
                      <w14:textFill>
                        <w14:solidFill>
                          <w14:schemeClr w14:val="tx1"/>
                        </w14:solidFill>
                      </w14:textFill>
                    </w:rPr>
                    <w:t>目</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营</w:t>
                  </w:r>
                  <w:r>
                    <w:rPr>
                      <w:rFonts w:hint="default" w:ascii="Times New Roman" w:hAnsi="Times New Roman" w:eastAsia="宋体" w:cs="Times New Roman"/>
                      <w:color w:val="000000" w:themeColor="text1"/>
                      <w:sz w:val="21"/>
                      <w:szCs w:val="24"/>
                      <w:highlight w:val="none"/>
                      <w14:textFill>
                        <w14:solidFill>
                          <w14:schemeClr w14:val="tx1"/>
                        </w14:solidFill>
                      </w14:textFill>
                    </w:rPr>
                    <w:t>运期生</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活</w:t>
                  </w:r>
                  <w:r>
                    <w:rPr>
                      <w:rFonts w:hint="default" w:ascii="Times New Roman" w:hAnsi="Times New Roman" w:eastAsia="宋体" w:cs="Times New Roman"/>
                      <w:color w:val="000000" w:themeColor="text1"/>
                      <w:sz w:val="21"/>
                      <w:szCs w:val="24"/>
                      <w:highlight w:val="none"/>
                      <w14:textFill>
                        <w14:solidFill>
                          <w14:schemeClr w14:val="tx1"/>
                        </w14:solidFill>
                      </w14:textFill>
                    </w:rPr>
                    <w:t>废</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水</w:t>
                  </w:r>
                  <w:r>
                    <w:rPr>
                      <w:rFonts w:hint="eastAsia" w:ascii="Times New Roman" w:hAnsi="Times New Roman" w:eastAsia="宋体" w:cs="Times New Roman"/>
                      <w:color w:val="000000" w:themeColor="text1"/>
                      <w:sz w:val="21"/>
                      <w:szCs w:val="24"/>
                      <w:highlight w:val="none"/>
                      <w:lang w:eastAsia="zh-CN"/>
                      <w14:textFill>
                        <w14:solidFill>
                          <w14:schemeClr w14:val="tx1"/>
                        </w14:solidFill>
                      </w14:textFill>
                    </w:rPr>
                    <w:t>经</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化</w:t>
                  </w:r>
                  <w:r>
                    <w:rPr>
                      <w:rFonts w:hint="default" w:ascii="Times New Roman" w:hAnsi="Times New Roman" w:eastAsia="宋体" w:cs="Times New Roman"/>
                      <w:color w:val="000000" w:themeColor="text1"/>
                      <w:sz w:val="21"/>
                      <w:szCs w:val="24"/>
                      <w:highlight w:val="none"/>
                      <w14:textFill>
                        <w14:solidFill>
                          <w14:schemeClr w14:val="tx1"/>
                        </w14:solidFill>
                      </w14:textFill>
                    </w:rPr>
                    <w:t>粪</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池</w:t>
                  </w:r>
                  <w:r>
                    <w:rPr>
                      <w:rFonts w:hint="default" w:ascii="Times New Roman" w:hAnsi="Times New Roman" w:eastAsia="宋体" w:cs="Times New Roman"/>
                      <w:color w:val="000000" w:themeColor="text1"/>
                      <w:sz w:val="21"/>
                      <w:szCs w:val="24"/>
                      <w:highlight w:val="none"/>
                      <w14:textFill>
                        <w14:solidFill>
                          <w14:schemeClr w14:val="tx1"/>
                        </w14:solidFill>
                      </w14:textFill>
                    </w:rPr>
                    <w:t>进</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行</w:t>
                  </w:r>
                  <w:r>
                    <w:rPr>
                      <w:rFonts w:hint="default" w:ascii="Times New Roman" w:hAnsi="Times New Roman" w:eastAsia="宋体" w:cs="Times New Roman"/>
                      <w:color w:val="000000" w:themeColor="text1"/>
                      <w:sz w:val="21"/>
                      <w:szCs w:val="24"/>
                      <w:highlight w:val="none"/>
                      <w14:textFill>
                        <w14:solidFill>
                          <w14:schemeClr w14:val="tx1"/>
                        </w14:solidFill>
                      </w14:textFill>
                    </w:rPr>
                    <w:t>预处理，</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后</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采用</w:t>
                  </w:r>
                  <w:r>
                    <w:rPr>
                      <w:rFonts w:hint="eastAsia" w:ascii="Times New Roman" w:hAnsi="Times New Roman" w:eastAsia="宋体" w:cs="Times New Roman"/>
                      <w:color w:val="000000" w:themeColor="text1"/>
                      <w:sz w:val="21"/>
                      <w:szCs w:val="24"/>
                      <w:highlight w:val="none"/>
                      <w:lang w:eastAsia="zh-CN"/>
                      <w14:textFill>
                        <w14:solidFill>
                          <w14:schemeClr w14:val="tx1"/>
                        </w14:solidFill>
                      </w14:textFill>
                    </w:rPr>
                    <w:t>吸污车</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拉运至</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宝</w:t>
                  </w:r>
                  <w:r>
                    <w:rPr>
                      <w:rFonts w:hint="default" w:ascii="Times New Roman" w:hAnsi="Times New Roman" w:eastAsia="宋体" w:cs="Times New Roman"/>
                      <w:color w:val="000000" w:themeColor="text1"/>
                      <w:sz w:val="21"/>
                      <w:szCs w:val="24"/>
                      <w:highlight w:val="none"/>
                      <w14:textFill>
                        <w14:solidFill>
                          <w14:schemeClr w14:val="tx1"/>
                        </w14:solidFill>
                      </w14:textFill>
                    </w:rPr>
                    <w:t>梵</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镇</w:t>
                  </w:r>
                  <w:r>
                    <w:rPr>
                      <w:rFonts w:hint="default" w:ascii="Times New Roman" w:hAnsi="Times New Roman" w:eastAsia="宋体" w:cs="Times New Roman"/>
                      <w:color w:val="000000" w:themeColor="text1"/>
                      <w:sz w:val="21"/>
                      <w:szCs w:val="24"/>
                      <w:highlight w:val="none"/>
                      <w14:textFill>
                        <w14:solidFill>
                          <w14:schemeClr w14:val="tx1"/>
                        </w14:solidFill>
                      </w14:textFill>
                    </w:rPr>
                    <w:t>污水处</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理</w:t>
                  </w:r>
                  <w:r>
                    <w:rPr>
                      <w:rFonts w:hint="default" w:ascii="Times New Roman" w:hAnsi="Times New Roman" w:eastAsia="宋体" w:cs="Times New Roman"/>
                      <w:color w:val="000000" w:themeColor="text1"/>
                      <w:sz w:val="21"/>
                      <w:szCs w:val="24"/>
                      <w:highlight w:val="none"/>
                      <w14:textFill>
                        <w14:solidFill>
                          <w14:schemeClr w14:val="tx1"/>
                        </w14:solidFill>
                      </w14:textFill>
                    </w:rPr>
                    <w:t>厂</w:t>
                  </w:r>
                  <w:r>
                    <w:rPr>
                      <w:rFonts w:hint="default" w:ascii="Times New Roman" w:hAnsi="Times New Roman" w:eastAsia="宋体" w:cs="Times New Roman"/>
                      <w:color w:val="000000" w:themeColor="text1"/>
                      <w:spacing w:val="-3"/>
                      <w:sz w:val="21"/>
                      <w:szCs w:val="24"/>
                      <w:highlight w:val="none"/>
                      <w14:textFill>
                        <w14:solidFill>
                          <w14:schemeClr w14:val="tx1"/>
                        </w14:solidFill>
                      </w14:textFill>
                    </w:rPr>
                    <w:t>处</w:t>
                  </w:r>
                  <w:r>
                    <w:rPr>
                      <w:rFonts w:hint="default" w:ascii="Times New Roman" w:hAnsi="Times New Roman" w:eastAsia="宋体" w:cs="Times New Roman"/>
                      <w:color w:val="000000" w:themeColor="text1"/>
                      <w:sz w:val="21"/>
                      <w:szCs w:val="24"/>
                      <w:highlight w:val="none"/>
                      <w14:textFill>
                        <w14:solidFill>
                          <w14:schemeClr w14:val="tx1"/>
                        </w14:solidFill>
                      </w14:textFill>
                    </w:rPr>
                    <w:t>理</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达</w:t>
                  </w:r>
                  <w:r>
                    <w:rPr>
                      <w:rFonts w:hint="default" w:ascii="Times New Roman" w:hAnsi="Times New Roman" w:eastAsia="宋体" w:cs="Times New Roman"/>
                      <w:b w:val="0"/>
                      <w:bCs w:val="0"/>
                      <w:color w:val="000000" w:themeColor="text1"/>
                      <w:szCs w:val="21"/>
                      <w:highlight w:val="none"/>
                      <w14:textFill>
                        <w14:solidFill>
                          <w14:schemeClr w14:val="tx1"/>
                        </w14:solidFill>
                      </w14:textFill>
                    </w:rPr>
                    <w:t>《城镇污水处理厂污染物排放标准》一级A标</w:t>
                  </w:r>
                  <w:r>
                    <w:rPr>
                      <w:rFonts w:hint="default" w:ascii="Times New Roman" w:hAnsi="Times New Roman" w:eastAsia="宋体" w:cs="Times New Roman"/>
                      <w:b w:val="0"/>
                      <w:bCs w:val="0"/>
                      <w:color w:val="000000" w:themeColor="text1"/>
                      <w:szCs w:val="21"/>
                      <w:highlight w:val="none"/>
                      <w:lang w:eastAsia="zh-CN"/>
                      <w14:textFill>
                        <w14:solidFill>
                          <w14:schemeClr w14:val="tx1"/>
                        </w14:solidFill>
                      </w14:textFill>
                    </w:rPr>
                    <w:t>后外排</w:t>
                  </w:r>
                  <w:r>
                    <w:rPr>
                      <w:rFonts w:hint="default" w:ascii="Times New Roman" w:hAnsi="Times New Roman" w:eastAsia="宋体" w:cs="Times New Roman"/>
                      <w:color w:val="000000" w:themeColor="text1"/>
                      <w:spacing w:val="-3"/>
                      <w:sz w:val="21"/>
                      <w:szCs w:val="24"/>
                      <w:highlight w:val="none"/>
                      <w:lang w:eastAsia="zh-CN"/>
                      <w14:textFill>
                        <w14:solidFill>
                          <w14:schemeClr w14:val="tx1"/>
                        </w14:solidFill>
                      </w14:textFill>
                    </w:rPr>
                    <w:t>。本项目区域大气环境属于达标区，执行《四川省水泥工业大气污染物排放标准（DB51 2864-2021）》排放限值，本项目粉尘均为无组织排放，不设置总量控制指标。</w:t>
                  </w:r>
                </w:p>
              </w:tc>
              <w:tc>
                <w:tcPr>
                  <w:tcW w:w="273" w:type="pct"/>
                  <w:gridSpan w:val="2"/>
                  <w:shd w:val="clear" w:color="auto" w:fill="auto"/>
                  <w:vAlign w:val="center"/>
                </w:tcPr>
                <w:p w14:paraId="64C71C9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46108F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5E52C15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4D4BA63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07D0B81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3403934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联防联控要求</w:t>
                  </w:r>
                </w:p>
                <w:p w14:paraId="262F578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加强成都平原经济区信息共享和联动合作，协力推进产业和能源结构优化调整，加强大气污染源头防控，加强潼遂合作。</w:t>
                  </w:r>
                </w:p>
                <w:p w14:paraId="31976A7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其他环境风险防控要求</w:t>
                  </w:r>
                </w:p>
                <w:p w14:paraId="25A7F25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1.企业环境风险防控要求：（1）列入建设用地土壤污染风险管控和修复名录的地块，不得作为住宅、公共管理与公共服务用地。（2）加强“散乱污”企业环境风险防控。</w:t>
                  </w:r>
                </w:p>
                <w:p w14:paraId="6D770CF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14:textFill>
                        <w14:solidFill>
                          <w14:schemeClr w14:val="tx1"/>
                        </w14:solidFill>
                      </w14:textFill>
                    </w:rPr>
                    <w:t>2.（1）严禁将城镇生活垃圾、污泥、工业废物直接用作肥料，禁止处理不达标的污泥进入耕地；禁止在农用地排放、倾倒、使用污泥、清淤底泥、尾矿（渣）等可能对土壤造成污染的固体废物。（2）严格控制林地、草地、园地的农药使用量，禁止使用高毒、高残留农药。</w:t>
                  </w:r>
                </w:p>
              </w:tc>
              <w:tc>
                <w:tcPr>
                  <w:tcW w:w="830" w:type="pct"/>
                  <w:shd w:val="clear" w:color="auto" w:fill="auto"/>
                  <w:vAlign w:val="center"/>
                </w:tcPr>
                <w:p w14:paraId="35816CD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项目风险物质最大存储量Q</w:t>
                  </w: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w:t>
                  </w: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1，经落实各项风险防范措施后，风险可控。</w:t>
                  </w:r>
                </w:p>
              </w:tc>
              <w:tc>
                <w:tcPr>
                  <w:tcW w:w="271" w:type="pct"/>
                  <w:shd w:val="clear" w:color="auto" w:fill="auto"/>
                  <w:vAlign w:val="center"/>
                </w:tcPr>
                <w:p w14:paraId="065ACBB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04F0AF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1B062AC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7FDE4D9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08CA2D2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5088507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水资源利用总量要求</w:t>
                  </w:r>
                </w:p>
                <w:p w14:paraId="7DB378E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1.2025年，农田灌溉有效利用系数提高到0.554；</w:t>
                  </w:r>
                </w:p>
                <w:p w14:paraId="5EFB588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2.2030年，农田灌溉水有效利用系数提高到0.6。</w:t>
                  </w:r>
                </w:p>
                <w:p w14:paraId="5F62A83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地下水开采要求</w:t>
                  </w:r>
                </w:p>
                <w:p w14:paraId="7E45850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全面建设节水型社会，达到合理高效用水。</w:t>
                  </w:r>
                </w:p>
                <w:p w14:paraId="4E60865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能源利用总量及效率要求</w:t>
                  </w:r>
                </w:p>
                <w:p w14:paraId="6E76870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1.推进清洁能源的推广使用，全面推进散煤清洁化整治；禁止新建每小时10蒸吨以下的燃煤锅炉及其他燃煤设施。</w:t>
                  </w:r>
                </w:p>
                <w:p w14:paraId="4F34B1D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2.全市秸秆综合利用率达到92%以上。</w:t>
                  </w:r>
                </w:p>
                <w:p w14:paraId="407CF0D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3.全市基本消除秸秆露天焚烧污染。</w:t>
                  </w:r>
                </w:p>
                <w:p w14:paraId="2E20361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禁燃区要求</w:t>
                  </w:r>
                </w:p>
                <w:p w14:paraId="3B3213C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1.禁燃区内禁止燃烧以下高污染燃料：</w:t>
                  </w:r>
                </w:p>
                <w:p w14:paraId="4402DCE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（1）煤炭及其制品（包括原煤、散煤、煤矸石、煤泥、煤 粉、水浆煤、型煤、焦炭、兰炭、油类等常规燃料）。</w:t>
                  </w:r>
                </w:p>
                <w:p w14:paraId="50513E7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（2）石油焦、油页岩、原油、重油、渣油、煤焦油。</w:t>
                  </w:r>
                </w:p>
                <w:p w14:paraId="0D19DC4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（3）非专用锅炉或未配置高效除尘设施的专用锅炉燃用的生物质成型燃料。</w:t>
                  </w:r>
                </w:p>
                <w:p w14:paraId="4FBA7C2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2.禁燃区内禁止新建、扩建燃用高污染燃料的锅炉、炉窑、炉灶等燃烧设施（集中供热、电厂锅炉除外）。</w:t>
                  </w:r>
                </w:p>
                <w:p w14:paraId="210A6EE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3.自2020年1月1日起，禁燃区内禁止销售高污染燃料。</w:t>
                  </w:r>
                </w:p>
                <w:p w14:paraId="607CBD4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4.加强对集中供热、电厂锅炉、10蒸吨时以上的在用燃煤锅炉以及改用清洁能源前的在用锅炉等燃烧设施的监管，确保达标排放。</w:t>
                  </w:r>
                </w:p>
                <w:p w14:paraId="5B15C50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其他资源利用效率要求</w:t>
                  </w:r>
                </w:p>
                <w:p w14:paraId="4AA2F78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暂无</w:t>
                  </w:r>
                </w:p>
              </w:tc>
              <w:tc>
                <w:tcPr>
                  <w:tcW w:w="830" w:type="pct"/>
                  <w:shd w:val="clear" w:color="auto" w:fill="auto"/>
                  <w:vAlign w:val="center"/>
                </w:tcPr>
                <w:p w14:paraId="7E810AD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本项目使用能源主要为自来水、电、天然气，不涉及煤的使用。</w:t>
                  </w: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场地内雨水经雨水管沟收集后排入初期雨水收集池沉淀后回用，</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本项目设置生产区废水排水收集系统、对生产废水进行沉淀处理，沉淀后的上清液回用作厂区抑尘</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及道路洒水抑尘，无生产废水外排</w:t>
                  </w:r>
                  <w:r>
                    <w:rPr>
                      <w:rFonts w:hint="default" w:ascii="Times New Roman" w:hAnsi="Times New Roman" w:eastAsia="宋体" w:cs="Times New Roman"/>
                      <w:color w:val="000000" w:themeColor="text1"/>
                      <w:sz w:val="21"/>
                      <w:szCs w:val="24"/>
                      <w:highlight w:val="none"/>
                      <w14:textFill>
                        <w14:solidFill>
                          <w14:schemeClr w14:val="tx1"/>
                        </w14:solidFill>
                      </w14:textFill>
                    </w:rPr>
                    <w:t>。</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本项目用水来自市政管网，不涉及地下水开采。</w:t>
                  </w:r>
                </w:p>
              </w:tc>
              <w:tc>
                <w:tcPr>
                  <w:tcW w:w="271" w:type="pct"/>
                  <w:shd w:val="clear" w:color="auto" w:fill="auto"/>
                  <w:vAlign w:val="center"/>
                </w:tcPr>
                <w:p w14:paraId="694777F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6510E3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0695748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restart"/>
                  <w:shd w:val="clear" w:color="auto" w:fill="auto"/>
                  <w:vAlign w:val="center"/>
                </w:tcPr>
                <w:p w14:paraId="26412D4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单元级</w:t>
                  </w: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清单管控要求</w:t>
                  </w:r>
                </w:p>
              </w:tc>
              <w:tc>
                <w:tcPr>
                  <w:tcW w:w="556" w:type="pct"/>
                  <w:shd w:val="clear" w:color="auto" w:fill="auto"/>
                  <w:vAlign w:val="center"/>
                </w:tcPr>
                <w:p w14:paraId="362247A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1977401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禁止开发建设活动的要求</w:t>
                  </w:r>
                </w:p>
                <w:p w14:paraId="590A822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参照遂宁市总体准入要求-一般管控单元</w:t>
                  </w:r>
                </w:p>
                <w:p w14:paraId="27A1564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限制开发建设活动的要求</w:t>
                  </w:r>
                </w:p>
                <w:p w14:paraId="7BFE50F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1.对四川省主体功能区划中的农产品主产区，应限制进行大规模高强度工业化城镇化开发，严格控制有色金属冶炼、石油加工、化工、焦化、电镀、制革等产能，原则上不增加产能</w:t>
                  </w:r>
                </w:p>
                <w:p w14:paraId="603E960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2.其他要求参照遂宁市总体准入要求-一般管控单元</w:t>
                  </w:r>
                </w:p>
                <w:p w14:paraId="214DB69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允许开发建设活动的要求</w:t>
                  </w:r>
                </w:p>
                <w:p w14:paraId="35C2CBA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不符合空间布局要求活动的退出要求</w:t>
                  </w:r>
                </w:p>
                <w:p w14:paraId="039A6A4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位于城镇空间外的区外工业企业：具有合法手续的企业，且污染物排放及环境风险满足管理要求的企业，可继续保留，要求污染物排放只降不增，并进一步加强日常环保监管；严控新（扩）建水泥厂、危废焚烧、陶瓷厂等以大气污染为主的企业；不具备合法手续，或污染物排放超标、环境风险不可控的企业，限期进行整改提升，通过环保、安全、工艺装备升级等落实整改措施并达到相关标准实现合法生产，整改后仍不能达到要求的，属地政府应按相关要求责令关停并退出</w:t>
                  </w:r>
                </w:p>
                <w:p w14:paraId="65DF159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2.其他要求参照遂宁市总体准入要求-一般管控单元</w:t>
                  </w:r>
                </w:p>
                <w:p w14:paraId="7BA1BB5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74A8C3D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本项目为</w:t>
                  </w:r>
                  <w:r>
                    <w:rPr>
                      <w:rFonts w:hint="default" w:ascii="Times New Roman" w:hAnsi="Times New Roman" w:eastAsia="宋体" w:cs="Times New Roman"/>
                      <w:color w:val="000000" w:themeColor="text1"/>
                      <w:sz w:val="21"/>
                      <w:szCs w:val="21"/>
                      <w:highlight w:val="none"/>
                      <w14:textFill>
                        <w14:solidFill>
                          <w14:schemeClr w14:val="tx1"/>
                        </w14:solidFill>
                      </w14:textFill>
                    </w:rPr>
                    <w:t>水泥制品制造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项目，符合</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遂宁市总体准入要求-一般管控单元空间布局约束管控要求，</w:t>
                  </w:r>
                  <w:r>
                    <w:rPr>
                      <w:rFonts w:hint="default" w:ascii="Times New Roman" w:hAnsi="Times New Roman" w:eastAsia="宋体" w:cs="Times New Roman"/>
                      <w:color w:val="000000" w:themeColor="text1"/>
                      <w:szCs w:val="21"/>
                      <w:highlight w:val="none"/>
                      <w14:textFill>
                        <w14:solidFill>
                          <w14:schemeClr w14:val="tx1"/>
                        </w14:solidFill>
                      </w14:textFill>
                    </w:rPr>
                    <w:t>本项目污染物经采取环评报告中提出的措施后可达标排放。</w:t>
                  </w: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项目风险物质最大存储量Q</w:t>
                  </w: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w:t>
                  </w: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1，经落实各项风险防范措施后，风险可控。</w:t>
                  </w:r>
                </w:p>
              </w:tc>
              <w:tc>
                <w:tcPr>
                  <w:tcW w:w="271" w:type="pct"/>
                  <w:shd w:val="clear" w:color="auto" w:fill="auto"/>
                  <w:vAlign w:val="center"/>
                </w:tcPr>
                <w:p w14:paraId="361B1F3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663C7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24B1641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017D586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48DFE9F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3D26713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现有源提标升级改造</w:t>
                  </w:r>
                </w:p>
                <w:p w14:paraId="71B6469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参照遂宁市总体准入要求-一般管控单元</w:t>
                  </w:r>
                </w:p>
                <w:p w14:paraId="7A347FE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新增源等量或倍量替代</w:t>
                  </w:r>
                </w:p>
                <w:p w14:paraId="05269A3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参照遂宁市总体准入要求-一般管控单元</w:t>
                  </w:r>
                </w:p>
                <w:p w14:paraId="0F69ABC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新增源排放标准限值</w:t>
                  </w:r>
                </w:p>
                <w:p w14:paraId="14C25D8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w:t>
                  </w:r>
                </w:p>
                <w:p w14:paraId="64E1E0E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污染物排放绩效水平准入要求</w:t>
                  </w:r>
                </w:p>
                <w:p w14:paraId="4E7635A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参照遂宁市总体准入要求-一般管控单元</w:t>
                  </w:r>
                </w:p>
                <w:p w14:paraId="724FAA1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其他污染物排放管控要求</w:t>
                  </w:r>
                </w:p>
                <w:p w14:paraId="75C3FB0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w:t>
                  </w:r>
                </w:p>
              </w:tc>
              <w:tc>
                <w:tcPr>
                  <w:tcW w:w="830" w:type="pct"/>
                  <w:shd w:val="clear" w:color="auto" w:fill="auto"/>
                  <w:vAlign w:val="center"/>
                </w:tcPr>
                <w:p w14:paraId="632135D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本</w:t>
                  </w:r>
                  <w:r>
                    <w:rPr>
                      <w:rFonts w:hint="default" w:ascii="Times New Roman" w:hAnsi="Times New Roman" w:eastAsia="宋体" w:cs="Times New Roman"/>
                      <w:color w:val="000000" w:themeColor="text1"/>
                      <w:sz w:val="21"/>
                      <w:szCs w:val="24"/>
                      <w:highlight w:val="none"/>
                      <w14:textFill>
                        <w14:solidFill>
                          <w14:schemeClr w14:val="tx1"/>
                        </w14:solidFill>
                      </w14:textFill>
                    </w:rPr>
                    <w:t>项目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遂宁市总体准入要求-一般管控单元污染物排放管控要求。</w:t>
                  </w:r>
                </w:p>
              </w:tc>
              <w:tc>
                <w:tcPr>
                  <w:tcW w:w="271" w:type="pct"/>
                  <w:shd w:val="clear" w:color="auto" w:fill="auto"/>
                  <w:vAlign w:val="center"/>
                </w:tcPr>
                <w:p w14:paraId="554ADB7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18599E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031943D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51FF585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271AA7F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2FC0600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严格管控类农用地管控要求</w:t>
                  </w:r>
                </w:p>
                <w:p w14:paraId="588E697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参照遂宁市总体准入要求-</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p>
                <w:p w14:paraId="44ACEA2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安全利用类农用地管控要求</w:t>
                  </w:r>
                </w:p>
                <w:p w14:paraId="2ED2EBD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参照遂宁市总体准入要求-</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p>
                <w:p w14:paraId="35D9E07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污染地块管控要求</w:t>
                  </w:r>
                </w:p>
                <w:p w14:paraId="71656EA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参照遂宁市总体准入要求-</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p>
                <w:p w14:paraId="6B28582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园区环境风险防控要求</w:t>
                  </w:r>
                </w:p>
                <w:p w14:paraId="4C8C36D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w:t>
                  </w:r>
                </w:p>
                <w:p w14:paraId="694E61B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企业环境风险防控要求</w:t>
                  </w:r>
                </w:p>
                <w:p w14:paraId="18A7B3F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参照遂宁市总体准入要求-</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p>
                <w:p w14:paraId="00B3CC7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其他环境风险防控要求</w:t>
                  </w:r>
                </w:p>
                <w:p w14:paraId="41A5218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w:t>
                  </w:r>
                </w:p>
              </w:tc>
              <w:tc>
                <w:tcPr>
                  <w:tcW w:w="830" w:type="pct"/>
                  <w:shd w:val="clear" w:color="auto" w:fill="auto"/>
                  <w:vAlign w:val="center"/>
                </w:tcPr>
                <w:p w14:paraId="5DA3E4A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本</w:t>
                  </w:r>
                  <w:r>
                    <w:rPr>
                      <w:rFonts w:hint="default" w:ascii="Times New Roman" w:hAnsi="Times New Roman" w:eastAsia="宋体" w:cs="Times New Roman"/>
                      <w:color w:val="000000" w:themeColor="text1"/>
                      <w:sz w:val="21"/>
                      <w:szCs w:val="24"/>
                      <w:highlight w:val="none"/>
                      <w14:textFill>
                        <w14:solidFill>
                          <w14:schemeClr w14:val="tx1"/>
                        </w14:solidFill>
                      </w14:textFill>
                    </w:rPr>
                    <w:t>项目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遂宁市总体准入要求-一般管控单元环境风险防控要求。</w:t>
                  </w:r>
                </w:p>
              </w:tc>
              <w:tc>
                <w:tcPr>
                  <w:tcW w:w="271" w:type="pct"/>
                  <w:shd w:val="clear" w:color="auto" w:fill="auto"/>
                  <w:vAlign w:val="center"/>
                </w:tcPr>
                <w:p w14:paraId="39515BF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4229FE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3826D5F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1D01E37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F882EE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4383C01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水资源利用效率要求</w:t>
                  </w:r>
                </w:p>
                <w:p w14:paraId="7DE0468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参照遂宁市总体准入要求-</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p>
                <w:p w14:paraId="23B4C03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地下水开采要求</w:t>
                  </w:r>
                </w:p>
                <w:p w14:paraId="21423A6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（1）蓬溪县2030年地下水开采控制控制量保持在0.09亿m</w:t>
                  </w:r>
                  <w:r>
                    <w:rPr>
                      <w:rFonts w:hint="default" w:ascii="Times New Roman" w:hAnsi="Times New Roman" w:eastAsia="宋体" w:cs="Times New Roman"/>
                      <w:color w:val="000000" w:themeColor="text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Cs w:val="21"/>
                      <w:highlight w:val="none"/>
                      <w14:textFill>
                        <w14:solidFill>
                          <w14:schemeClr w14:val="tx1"/>
                        </w14:solidFill>
                      </w14:textFill>
                    </w:rPr>
                    <w:t>以内。（2）全面建设节水型社会，达到合理高效用水。</w:t>
                  </w:r>
                </w:p>
                <w:p w14:paraId="1D57E88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能源利用效率要求</w:t>
                  </w:r>
                </w:p>
                <w:p w14:paraId="32C6C4A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参照遂宁市总体准入要求-</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一般管控单元</w:t>
                  </w:r>
                </w:p>
                <w:p w14:paraId="5FA946B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其他资源利用效率要求</w:t>
                  </w:r>
                </w:p>
                <w:p w14:paraId="5C4F6DB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val="0"/>
                      <w:bCs w:val="0"/>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14:textFill>
                        <w14:solidFill>
                          <w14:schemeClr w14:val="tx1"/>
                        </w14:solidFill>
                      </w14:textFill>
                    </w:rPr>
                    <w:t>/</w:t>
                  </w:r>
                </w:p>
                <w:p w14:paraId="1C47EC7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14:textFill>
                        <w14:solidFill>
                          <w14:schemeClr w14:val="tx1"/>
                        </w14:solidFill>
                      </w14:textFill>
                    </w:rPr>
                    <w:t>禁燃区管控要求</w:t>
                  </w:r>
                </w:p>
                <w:p w14:paraId="10A21EC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eastAsia="zh-CN"/>
                      <w14:textFill>
                        <w14:solidFill>
                          <w14:schemeClr w14:val="tx1"/>
                        </w14:solidFill>
                      </w14:textFill>
                    </w:rPr>
                    <w:t>参照遂宁市总体准入要求-一般管控单元</w:t>
                  </w:r>
                </w:p>
              </w:tc>
              <w:tc>
                <w:tcPr>
                  <w:tcW w:w="830" w:type="pct"/>
                  <w:shd w:val="clear" w:color="auto" w:fill="auto"/>
                  <w:vAlign w:val="center"/>
                </w:tcPr>
                <w:p w14:paraId="37743DE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本项目用水来自市政管网，不涉及地下水开采。本</w:t>
                  </w:r>
                  <w:r>
                    <w:rPr>
                      <w:rFonts w:hint="default" w:ascii="Times New Roman" w:hAnsi="Times New Roman" w:eastAsia="宋体" w:cs="Times New Roman"/>
                      <w:color w:val="000000" w:themeColor="text1"/>
                      <w:sz w:val="21"/>
                      <w:szCs w:val="24"/>
                      <w:highlight w:val="none"/>
                      <w14:textFill>
                        <w14:solidFill>
                          <w14:schemeClr w14:val="tx1"/>
                        </w14:solidFill>
                      </w14:textFill>
                    </w:rPr>
                    <w:t>项目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遂宁市总体准入要求-一般管控单元</w:t>
                  </w:r>
                  <w:r>
                    <w:rPr>
                      <w:rFonts w:hint="default" w:ascii="Times New Roman" w:hAnsi="Times New Roman" w:eastAsia="宋体" w:cs="Times New Roman"/>
                      <w:snapToGrid w:val="0"/>
                      <w:color w:val="000000" w:themeColor="text1"/>
                      <w:szCs w:val="21"/>
                      <w:highlight w:val="none"/>
                      <w14:textFill>
                        <w14:solidFill>
                          <w14:schemeClr w14:val="tx1"/>
                        </w14:solidFill>
                      </w14:textFill>
                    </w:rPr>
                    <w:t>资源开发效率要求</w:t>
                  </w:r>
                  <w:r>
                    <w:rPr>
                      <w:rFonts w:hint="default" w:ascii="Times New Roman" w:hAnsi="Times New Roman" w:eastAsia="宋体" w:cs="Times New Roman"/>
                      <w:snapToGrid w:val="0"/>
                      <w:color w:val="000000" w:themeColor="text1"/>
                      <w:szCs w:val="21"/>
                      <w:highlight w:val="none"/>
                      <w:lang w:eastAsia="zh-CN"/>
                      <w14:textFill>
                        <w14:solidFill>
                          <w14:schemeClr w14:val="tx1"/>
                        </w14:solidFill>
                      </w14:textFill>
                    </w:rPr>
                    <w:t>。</w:t>
                  </w:r>
                </w:p>
              </w:tc>
              <w:tc>
                <w:tcPr>
                  <w:tcW w:w="271" w:type="pct"/>
                  <w:shd w:val="clear" w:color="auto" w:fill="auto"/>
                  <w:vAlign w:val="center"/>
                </w:tcPr>
                <w:p w14:paraId="5B60DF1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6615A7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restart"/>
                  <w:shd w:val="clear" w:color="auto" w:fill="auto"/>
                  <w:vAlign w:val="center"/>
                </w:tcPr>
                <w:p w14:paraId="0C55B03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芝溪河蓬溪县涪山坝控制单元YS5109213210007</w:t>
                  </w:r>
                </w:p>
              </w:tc>
              <w:tc>
                <w:tcPr>
                  <w:tcW w:w="556" w:type="pct"/>
                  <w:shd w:val="clear" w:color="auto" w:fill="auto"/>
                  <w:vAlign w:val="center"/>
                </w:tcPr>
                <w:p w14:paraId="2F8F4D8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5A24821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禁止开发建设活动的要求</w:t>
                  </w:r>
                </w:p>
                <w:p w14:paraId="4A38879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限制开发建设活动的要求</w:t>
                  </w:r>
                </w:p>
                <w:p w14:paraId="307CF3B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允许开发建设活动的要求</w:t>
                  </w:r>
                </w:p>
                <w:p w14:paraId="3F737F1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不符合空间布局要求活动的退出要求</w:t>
                  </w:r>
                </w:p>
                <w:p w14:paraId="6C6BB67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7A9C5E7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1300CD9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lang w:val="en-US" w:eastAsia="zh-CN"/>
                      <w14:textFill>
                        <w14:solidFill>
                          <w14:schemeClr w14:val="tx1"/>
                        </w14:solidFill>
                      </w14:textFill>
                    </w:rPr>
                    <w:t>/</w:t>
                  </w:r>
                </w:p>
              </w:tc>
            </w:tr>
            <w:tr w14:paraId="3C5B53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7BA30FE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7F0AFD4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6EBF450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城镇污水污染控制措施要求</w:t>
                  </w:r>
                </w:p>
                <w:p w14:paraId="43BA6B9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工业废水污染控制措施要求</w:t>
                  </w:r>
                </w:p>
                <w:p w14:paraId="77E68B9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加强工业企业监管，建立在线监管系统，确保工业企业达标排放，提高工业企业水资源利用效率。</w:t>
                  </w:r>
                </w:p>
                <w:p w14:paraId="7F569BB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农业面源水污染控制措施要求</w:t>
                  </w:r>
                </w:p>
                <w:p w14:paraId="5E785CB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船舶港口水污染控制措施要求</w:t>
                  </w:r>
                </w:p>
                <w:p w14:paraId="341D580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饮用水水源和其它特殊水体保护要求</w:t>
                  </w:r>
                </w:p>
              </w:tc>
              <w:tc>
                <w:tcPr>
                  <w:tcW w:w="830" w:type="pct"/>
                  <w:shd w:val="clear" w:color="auto" w:fill="auto"/>
                  <w:vAlign w:val="center"/>
                </w:tcPr>
                <w:p w14:paraId="2AA4851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本项目设置生产区废水排水收集系统、对生产废水进行沉淀处理，沉淀后的上清液回用作厂区抑尘</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及道路洒水抑尘，无生产废水外排</w:t>
                  </w:r>
                  <w:r>
                    <w:rPr>
                      <w:rFonts w:hint="default" w:ascii="Times New Roman" w:hAnsi="Times New Roman" w:eastAsia="宋体" w:cs="Times New Roman"/>
                      <w:color w:val="000000" w:themeColor="text1"/>
                      <w:sz w:val="21"/>
                      <w:szCs w:val="24"/>
                      <w:highlight w:val="none"/>
                      <w14:textFill>
                        <w14:solidFill>
                          <w14:schemeClr w14:val="tx1"/>
                        </w14:solidFill>
                      </w14:textFill>
                    </w:rPr>
                    <w:t>。</w:t>
                  </w:r>
                </w:p>
              </w:tc>
              <w:tc>
                <w:tcPr>
                  <w:tcW w:w="271" w:type="pct"/>
                  <w:shd w:val="clear" w:color="auto" w:fill="auto"/>
                  <w:vAlign w:val="center"/>
                </w:tcPr>
                <w:p w14:paraId="26DBCBF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符合</w:t>
                  </w:r>
                </w:p>
              </w:tc>
            </w:tr>
            <w:tr w14:paraId="6CBA40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387C191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01C5785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5103FDAB">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要加强对重点区域和重点源环境风险综合管控。强化工业园区环境风险防控工作，突出全防全控，完善各项环境风险防范制度，确保将风险防范融入日常环境管理制度体系。加强执法监督，逐步实现对重点工业园区、重点工矿企业和主要环境风险类型的动态监控。加快布局分散企业向园区集中，按要求设置生态隔离带，建设相应的防护工程。强化沿河水电站监管，强化废油收集、储存、转运处置全过程管控。</w:t>
                  </w:r>
                </w:p>
              </w:tc>
              <w:tc>
                <w:tcPr>
                  <w:tcW w:w="830" w:type="pct"/>
                  <w:shd w:val="clear" w:color="auto" w:fill="auto"/>
                  <w:vAlign w:val="center"/>
                </w:tcPr>
                <w:p w14:paraId="3B70E2D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项目风险物质最大存储量Q</w:t>
                  </w:r>
                  <w:r>
                    <w:rPr>
                      <w:rFonts w:hint="default" w:ascii="Times New Roman" w:hAnsi="Times New Roman" w:eastAsia="宋体" w:cs="Times New Roman"/>
                      <w:b w:val="0"/>
                      <w:bCs w:val="0"/>
                      <w:snapToGrid w:val="0"/>
                      <w:color w:val="000000" w:themeColor="text1"/>
                      <w:kern w:val="0"/>
                      <w:szCs w:val="21"/>
                      <w:highlight w:val="none"/>
                      <w:lang w:eastAsia="zh-CN"/>
                      <w14:textFill>
                        <w14:solidFill>
                          <w14:schemeClr w14:val="tx1"/>
                        </w14:solidFill>
                      </w14:textFill>
                    </w:rPr>
                    <w:t>＜</w:t>
                  </w:r>
                  <w:r>
                    <w:rPr>
                      <w:rFonts w:hint="default" w:ascii="Times New Roman" w:hAnsi="Times New Roman" w:eastAsia="宋体" w:cs="Times New Roman"/>
                      <w:b w:val="0"/>
                      <w:bCs w:val="0"/>
                      <w:snapToGrid w:val="0"/>
                      <w:color w:val="000000" w:themeColor="text1"/>
                      <w:kern w:val="0"/>
                      <w:szCs w:val="21"/>
                      <w:highlight w:val="none"/>
                      <w14:textFill>
                        <w14:solidFill>
                          <w14:schemeClr w14:val="tx1"/>
                        </w14:solidFill>
                      </w14:textFill>
                    </w:rPr>
                    <w:t>1，经落实各项风险防范措施后，风险可控。</w:t>
                  </w:r>
                </w:p>
              </w:tc>
              <w:tc>
                <w:tcPr>
                  <w:tcW w:w="271" w:type="pct"/>
                  <w:shd w:val="clear" w:color="auto" w:fill="auto"/>
                  <w:vAlign w:val="center"/>
                </w:tcPr>
                <w:p w14:paraId="0F8353D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符合</w:t>
                  </w:r>
                </w:p>
              </w:tc>
            </w:tr>
            <w:tr w14:paraId="6AD3FB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639636C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7F04AA9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2ABABE99">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w:t>
                  </w:r>
                </w:p>
              </w:tc>
              <w:tc>
                <w:tcPr>
                  <w:tcW w:w="830" w:type="pct"/>
                  <w:shd w:val="clear" w:color="auto" w:fill="auto"/>
                  <w:vAlign w:val="center"/>
                </w:tcPr>
                <w:p w14:paraId="246BB39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4DC946B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r>
            <w:tr w14:paraId="6571AD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restart"/>
                  <w:shd w:val="clear" w:color="auto" w:fill="auto"/>
                  <w:vAlign w:val="center"/>
                </w:tcPr>
                <w:p w14:paraId="20FE654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蓬溪县大气环境布局敏感重点管控区YS5109212320001</w:t>
                  </w:r>
                </w:p>
              </w:tc>
              <w:tc>
                <w:tcPr>
                  <w:tcW w:w="556" w:type="pct"/>
                  <w:shd w:val="clear" w:color="auto" w:fill="auto"/>
                  <w:vAlign w:val="center"/>
                </w:tcPr>
                <w:p w14:paraId="23ADEBC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7FCA0083">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禁止开发建设活动的要求</w:t>
                  </w:r>
                </w:p>
                <w:p w14:paraId="4CF62B87">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限制开发建设活动的要求</w:t>
                  </w:r>
                </w:p>
                <w:p w14:paraId="0C96A2B7">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允许开发建设活动的要求</w:t>
                  </w:r>
                </w:p>
                <w:p w14:paraId="54688314">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不符合空间布局要求活动的退出要求</w:t>
                  </w:r>
                </w:p>
                <w:p w14:paraId="02C2C7A6">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106DC23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t>/</w:t>
                  </w:r>
                </w:p>
              </w:tc>
              <w:tc>
                <w:tcPr>
                  <w:tcW w:w="271" w:type="pct"/>
                  <w:shd w:val="clear" w:color="auto" w:fill="auto"/>
                  <w:vAlign w:val="center"/>
                </w:tcPr>
                <w:p w14:paraId="70A47DF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lang w:val="en-US" w:eastAsia="zh-CN"/>
                      <w14:textFill>
                        <w14:solidFill>
                          <w14:schemeClr w14:val="tx1"/>
                        </w14:solidFill>
                      </w14:textFill>
                    </w:rPr>
                    <w:t>/</w:t>
                  </w:r>
                </w:p>
              </w:tc>
            </w:tr>
            <w:tr w14:paraId="31738E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6081132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4034C5D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13C29547">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大气环境质量执行标准：《环境空气质量标准》（GB3095-2012）：二级</w:t>
                  </w:r>
                </w:p>
                <w:p w14:paraId="3B151316">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区域大气污染物削减/替代要求</w:t>
                  </w:r>
                </w:p>
                <w:p w14:paraId="13FB4251">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新增大气污染物排放的建设项目实施总量削减替代。</w:t>
                  </w:r>
                </w:p>
                <w:p w14:paraId="48943E5C">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燃煤和其他能源大气污染控制要求</w:t>
                  </w:r>
                </w:p>
                <w:p w14:paraId="26060D92">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工业废气污染控制要求</w:t>
                  </w:r>
                </w:p>
                <w:p w14:paraId="38E4722E">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机动车船大气污染控制要求</w:t>
                  </w:r>
                </w:p>
                <w:p w14:paraId="46DD0443">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扬尘污染控制要求</w:t>
                  </w:r>
                </w:p>
                <w:p w14:paraId="5DDFA8FD">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农业生产经营活动大气污染控制要求</w:t>
                  </w:r>
                </w:p>
                <w:p w14:paraId="163CBB2B">
                  <w:pPr>
                    <w:pStyle w:val="38"/>
                    <w:widowControl/>
                    <w:shd w:val="clear" w:color="auto" w:fill="FFFFFF"/>
                    <w:spacing w:line="240" w:lineRule="auto"/>
                    <w:ind w:firstLine="0" w:firstLineChars="0"/>
                    <w:jc w:val="left"/>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重点行业企业专项治理要求</w:t>
                  </w:r>
                </w:p>
                <w:p w14:paraId="7FF3618B">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其他大气污染物排放管控要求</w:t>
                  </w:r>
                </w:p>
              </w:tc>
              <w:tc>
                <w:tcPr>
                  <w:tcW w:w="830" w:type="pct"/>
                  <w:shd w:val="clear" w:color="auto" w:fill="auto"/>
                  <w:vAlign w:val="center"/>
                </w:tcPr>
                <w:p w14:paraId="526AD74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4"/>
                      <w:highlight w:val="none"/>
                      <w:lang w:eastAsia="zh-CN"/>
                      <w14:textFill>
                        <w14:solidFill>
                          <w14:schemeClr w14:val="tx1"/>
                        </w14:solidFill>
                      </w14:textFill>
                    </w:rPr>
                    <w:t>本项目区域大气环境属于达标区，本项目粉尘均为无组织排放，不设置总量控制指标。</w:t>
                  </w:r>
                </w:p>
              </w:tc>
              <w:tc>
                <w:tcPr>
                  <w:tcW w:w="271" w:type="pct"/>
                  <w:shd w:val="clear" w:color="auto" w:fill="auto"/>
                  <w:vAlign w:val="center"/>
                </w:tcPr>
                <w:p w14:paraId="68E04FE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val="0"/>
                      <w:bCs w:val="0"/>
                      <w:snapToGrid w:val="0"/>
                      <w:color w:val="000000" w:themeColor="text1"/>
                      <w:kern w:val="0"/>
                      <w:szCs w:val="21"/>
                      <w:highlight w:val="none"/>
                      <w:lang w:val="en-US" w:eastAsia="zh-CN"/>
                      <w14:textFill>
                        <w14:solidFill>
                          <w14:schemeClr w14:val="tx1"/>
                        </w14:solidFill>
                      </w14:textFill>
                    </w:rPr>
                    <w:t>符合</w:t>
                  </w:r>
                </w:p>
              </w:tc>
            </w:tr>
            <w:tr w14:paraId="090973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25AA6F6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222DED1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6E54442E">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w:t>
                  </w:r>
                </w:p>
              </w:tc>
              <w:tc>
                <w:tcPr>
                  <w:tcW w:w="830" w:type="pct"/>
                  <w:shd w:val="clear" w:color="auto" w:fill="auto"/>
                  <w:vAlign w:val="center"/>
                </w:tcPr>
                <w:p w14:paraId="4835204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75BCF6D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r>
            <w:tr w14:paraId="530F3E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6A0904E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02E03AB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578C5E7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w:t>
                  </w:r>
                </w:p>
              </w:tc>
              <w:tc>
                <w:tcPr>
                  <w:tcW w:w="830" w:type="pct"/>
                  <w:shd w:val="clear" w:color="auto" w:fill="auto"/>
                  <w:vAlign w:val="center"/>
                </w:tcPr>
                <w:p w14:paraId="5B70A8A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717D234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r>
            <w:tr w14:paraId="2FFCC6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restart"/>
                  <w:shd w:val="clear" w:color="auto" w:fill="auto"/>
                  <w:vAlign w:val="center"/>
                </w:tcPr>
                <w:p w14:paraId="2D13362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14:textFill>
                        <w14:solidFill>
                          <w14:schemeClr w14:val="tx1"/>
                        </w14:solidFill>
                      </w14:textFill>
                    </w:rPr>
                    <w:t>蓬溪县土壤优先保护区YS5109211410003</w:t>
                  </w:r>
                </w:p>
                <w:p w14:paraId="64D9250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10A5D21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7F1B1623">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禁止开发建设活动的要求</w:t>
                  </w:r>
                </w:p>
                <w:p w14:paraId="633A2F60">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限制开发建设活动的要求</w:t>
                  </w:r>
                </w:p>
                <w:p w14:paraId="101D1D19">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允许开发建设活动的要求</w:t>
                  </w:r>
                </w:p>
                <w:p w14:paraId="05F03287">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不符合空间布局要求活动的退出要求</w:t>
                  </w:r>
                </w:p>
                <w:p w14:paraId="012C401B">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5D4F8D1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t>/</w:t>
                  </w:r>
                </w:p>
              </w:tc>
              <w:tc>
                <w:tcPr>
                  <w:tcW w:w="271" w:type="pct"/>
                  <w:shd w:val="clear" w:color="auto" w:fill="auto"/>
                  <w:vAlign w:val="center"/>
                </w:tcPr>
                <w:p w14:paraId="6DE1C5B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kern w:val="0"/>
                      <w:szCs w:val="21"/>
                      <w:highlight w:val="none"/>
                      <w:lang w:val="en-US" w:eastAsia="zh-CN"/>
                      <w14:textFill>
                        <w14:solidFill>
                          <w14:schemeClr w14:val="tx1"/>
                        </w14:solidFill>
                      </w14:textFill>
                    </w:rPr>
                    <w:t>/</w:t>
                  </w:r>
                </w:p>
              </w:tc>
            </w:tr>
            <w:tr w14:paraId="356FA3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6D2DA05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116E214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63E86B14">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w:t>
                  </w:r>
                </w:p>
              </w:tc>
              <w:tc>
                <w:tcPr>
                  <w:tcW w:w="830" w:type="pct"/>
                  <w:shd w:val="clear" w:color="auto" w:fill="auto"/>
                  <w:vAlign w:val="center"/>
                </w:tcPr>
                <w:p w14:paraId="2294ABC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64D9456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r>
            <w:tr w14:paraId="0E840E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444C97D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6DB33AE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6A01FF7E">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w:t>
                  </w:r>
                </w:p>
              </w:tc>
              <w:tc>
                <w:tcPr>
                  <w:tcW w:w="830" w:type="pct"/>
                  <w:shd w:val="clear" w:color="auto" w:fill="auto"/>
                  <w:vAlign w:val="center"/>
                </w:tcPr>
                <w:p w14:paraId="09F5D35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4A7AB1E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r>
            <w:tr w14:paraId="0532BD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47D4662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31A7CA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13BB2D5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w:t>
                  </w:r>
                </w:p>
              </w:tc>
              <w:tc>
                <w:tcPr>
                  <w:tcW w:w="830" w:type="pct"/>
                  <w:shd w:val="clear" w:color="auto" w:fill="auto"/>
                  <w:vAlign w:val="center"/>
                </w:tcPr>
                <w:p w14:paraId="58A2631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43B2E26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default"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kern w:val="0"/>
                      <w:szCs w:val="21"/>
                      <w:highlight w:val="none"/>
                      <w:lang w:val="en-US" w:eastAsia="zh-CN"/>
                      <w14:textFill>
                        <w14:solidFill>
                          <w14:schemeClr w14:val="tx1"/>
                        </w14:solidFill>
                      </w14:textFill>
                    </w:rPr>
                    <w:t>/</w:t>
                  </w:r>
                </w:p>
              </w:tc>
            </w:tr>
          </w:tbl>
          <w:p w14:paraId="73C208AD">
            <w:pPr>
              <w:adjustRightInd w:val="0"/>
              <w:snapToGrid w:val="0"/>
              <w:spacing w:before="120" w:beforeLines="50" w:line="360" w:lineRule="auto"/>
              <w:ind w:firstLine="482" w:firstLineChars="200"/>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3、项目与“三线一单”的符合性分析结论</w:t>
            </w:r>
          </w:p>
          <w:p w14:paraId="3F72E7C5">
            <w:pPr>
              <w:keepNext w:val="0"/>
              <w:keepLines w:val="0"/>
              <w:pageBreakBefore w:val="0"/>
              <w:widowControl w:val="0"/>
              <w:kinsoku/>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本项目</w:t>
            </w:r>
            <w:r>
              <w:rPr>
                <w:rFonts w:hint="eastAsia" w:ascii="Times New Roman" w:hAnsi="Times New Roman" w:eastAsia="宋体"/>
                <w:color w:val="000000" w:themeColor="text1"/>
                <w:sz w:val="24"/>
                <w:szCs w:val="24"/>
                <w:highlight w:val="none"/>
                <w14:textFill>
                  <w14:solidFill>
                    <w14:schemeClr w14:val="tx1"/>
                  </w14:solidFill>
                </w14:textFill>
              </w:rPr>
              <w:t>主要开展</w:t>
            </w:r>
            <w:r>
              <w:rPr>
                <w:rFonts w:hint="eastAsia" w:ascii="Times New Roman" w:hAnsi="Times New Roman" w:eastAsia="宋体"/>
                <w:color w:val="000000" w:themeColor="text1"/>
                <w:sz w:val="24"/>
                <w:szCs w:val="24"/>
                <w:highlight w:val="none"/>
                <w:lang w:eastAsia="zh-CN"/>
                <w14:textFill>
                  <w14:solidFill>
                    <w14:schemeClr w14:val="tx1"/>
                  </w14:solidFill>
                </w14:textFill>
              </w:rPr>
              <w:t>水泥制品制造，</w:t>
            </w:r>
            <w:r>
              <w:rPr>
                <w:rFonts w:ascii="Times New Roman" w:hAnsi="Times New Roman" w:eastAsia="宋体"/>
                <w:color w:val="000000" w:themeColor="text1"/>
                <w:sz w:val="24"/>
                <w:szCs w:val="24"/>
                <w:highlight w:val="none"/>
                <w14:textFill>
                  <w14:solidFill>
                    <w14:schemeClr w14:val="tx1"/>
                  </w14:solidFill>
                </w14:textFill>
              </w:rPr>
              <w:t>位于</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一般管控单元</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管控单元</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项目相关建设内容符合该管控单元的普适性清单和单元级清单要求。</w:t>
            </w:r>
          </w:p>
          <w:p w14:paraId="75FD6F35">
            <w:pPr>
              <w:keepNext w:val="0"/>
              <w:keepLines w:val="0"/>
              <w:pageBreakBefore w:val="0"/>
              <w:widowControl w:val="0"/>
              <w:kinsoku/>
              <w:wordWrap w:val="0"/>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综上分析，本项目与“三线一单”相关管控要求相符。</w:t>
            </w:r>
          </w:p>
          <w:p w14:paraId="2A5CD2FA">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color w:val="000000" w:themeColor="text1"/>
                <w:highlight w:val="none"/>
                <w14:textFill>
                  <w14:solidFill>
                    <w14:schemeClr w14:val="tx1"/>
                  </w14:solidFill>
                </w14:textFill>
              </w:rPr>
            </w:pPr>
            <w:r>
              <w:rPr>
                <w:rFonts w:hint="eastAsia" w:eastAsia="宋体"/>
                <w:b/>
                <w:color w:val="000000" w:themeColor="text1"/>
                <w:highlight w:val="none"/>
                <w:lang w:eastAsia="zh-CN"/>
                <w14:textFill>
                  <w14:solidFill>
                    <w14:schemeClr w14:val="tx1"/>
                  </w14:solidFill>
                </w14:textFill>
              </w:rPr>
              <w:t>四</w:t>
            </w:r>
            <w:r>
              <w:rPr>
                <w:rFonts w:eastAsia="宋体"/>
                <w:b/>
                <w:color w:val="000000" w:themeColor="text1"/>
                <w:highlight w:val="none"/>
                <w14:textFill>
                  <w14:solidFill>
                    <w14:schemeClr w14:val="tx1"/>
                  </w14:solidFill>
                </w14:textFill>
              </w:rPr>
              <w:t>、</w:t>
            </w:r>
            <w:r>
              <w:rPr>
                <w:rFonts w:hint="eastAsia" w:eastAsia="宋体"/>
                <w:b/>
                <w:color w:val="000000" w:themeColor="text1"/>
                <w:highlight w:val="none"/>
                <w14:textFill>
                  <w14:solidFill>
                    <w14:schemeClr w14:val="tx1"/>
                  </w14:solidFill>
                </w14:textFill>
              </w:rPr>
              <w:t>与大气污染防治等相关规划符合性分析</w:t>
            </w:r>
          </w:p>
          <w:p w14:paraId="2BB6DE4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1、与《中华人民共和国大气污染防治法》符合性分析</w:t>
            </w:r>
          </w:p>
          <w:p w14:paraId="5547F4A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根据《中华人民共和国大气污染防治法》（2018年12月29日修订）中“第四章 大气污染防治措施-第二节 工业污染防治-第四十八条 工业生产企业应当采取密闭、围挡、遮盖、清扫、洒水等措施，减少内部物料的堆存、传输、装卸等环节产生的粉尘和气态污染物的排放。”</w:t>
            </w:r>
          </w:p>
          <w:p w14:paraId="7A3A220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本项目设置有</w:t>
            </w:r>
            <w:r>
              <w:rPr>
                <w:rFonts w:hint="eastAsia" w:eastAsia="宋体"/>
                <w:color w:val="000000" w:themeColor="text1"/>
                <w:kern w:val="2"/>
                <w:highlight w:val="none"/>
                <w:lang w:eastAsia="zh-CN"/>
                <w14:textFill>
                  <w14:solidFill>
                    <w14:schemeClr w14:val="tx1"/>
                  </w14:solidFill>
                </w14:textFill>
              </w:rPr>
              <w:t>拌合站全封闭（含搅拌楼、筒仓、料仓等）</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eastAsia="zh-CN"/>
                <w14:textFill>
                  <w14:solidFill>
                    <w14:schemeClr w14:val="tx1"/>
                  </w14:solidFill>
                </w14:textFill>
              </w:rPr>
              <w:t>且所有生产</w:t>
            </w:r>
            <w:r>
              <w:rPr>
                <w:rFonts w:hint="eastAsia" w:eastAsia="宋体"/>
                <w:color w:val="000000" w:themeColor="text1"/>
                <w:kern w:val="2"/>
                <w:highlight w:val="none"/>
                <w14:textFill>
                  <w14:solidFill>
                    <w14:schemeClr w14:val="tx1"/>
                  </w14:solidFill>
                </w14:textFill>
              </w:rPr>
              <w:t>工序</w:t>
            </w:r>
            <w:r>
              <w:rPr>
                <w:rFonts w:hint="eastAsia" w:eastAsia="宋体"/>
                <w:color w:val="000000" w:themeColor="text1"/>
                <w:kern w:val="2"/>
                <w:highlight w:val="none"/>
                <w:lang w:eastAsia="zh-CN"/>
                <w14:textFill>
                  <w14:solidFill>
                    <w14:schemeClr w14:val="tx1"/>
                  </w14:solidFill>
                </w14:textFill>
              </w:rPr>
              <w:t>均在</w:t>
            </w:r>
            <w:r>
              <w:rPr>
                <w:rFonts w:hint="eastAsia" w:eastAsia="宋体"/>
                <w:color w:val="000000" w:themeColor="text1"/>
                <w:kern w:val="2"/>
                <w:highlight w:val="none"/>
                <w14:textFill>
                  <w14:solidFill>
                    <w14:schemeClr w14:val="tx1"/>
                  </w14:solidFill>
                </w14:textFill>
              </w:rPr>
              <w:t>密闭</w:t>
            </w:r>
            <w:r>
              <w:rPr>
                <w:rFonts w:hint="eastAsia" w:eastAsia="宋体"/>
                <w:color w:val="000000" w:themeColor="text1"/>
                <w:kern w:val="2"/>
                <w:highlight w:val="none"/>
                <w:lang w:eastAsia="zh-CN"/>
                <w14:textFill>
                  <w14:solidFill>
                    <w14:schemeClr w14:val="tx1"/>
                  </w14:solidFill>
                </w14:textFill>
              </w:rPr>
              <w:t>厂房内进行</w:t>
            </w:r>
            <w:r>
              <w:rPr>
                <w:rFonts w:hint="eastAsia" w:eastAsia="宋体"/>
                <w:color w:val="000000" w:themeColor="text1"/>
                <w:kern w:val="2"/>
                <w:highlight w:val="none"/>
                <w14:textFill>
                  <w14:solidFill>
                    <w14:schemeClr w14:val="tx1"/>
                  </w14:solidFill>
                </w14:textFill>
              </w:rPr>
              <w:t>，不会对周边大气产生明显影响；厂区内道路地面</w:t>
            </w:r>
            <w:r>
              <w:rPr>
                <w:rFonts w:hint="eastAsia" w:eastAsia="宋体"/>
                <w:color w:val="000000" w:themeColor="text1"/>
                <w:kern w:val="2"/>
                <w:highlight w:val="none"/>
                <w:lang w:eastAsia="zh-CN"/>
                <w14:textFill>
                  <w14:solidFill>
                    <w14:schemeClr w14:val="tx1"/>
                  </w14:solidFill>
                </w14:textFill>
              </w:rPr>
              <w:t>全部</w:t>
            </w:r>
            <w:r>
              <w:rPr>
                <w:rFonts w:hint="eastAsia" w:eastAsia="宋体"/>
                <w:color w:val="000000" w:themeColor="text1"/>
                <w:kern w:val="2"/>
                <w:highlight w:val="none"/>
                <w14:textFill>
                  <w14:solidFill>
                    <w14:schemeClr w14:val="tx1"/>
                  </w14:solidFill>
                </w14:textFill>
              </w:rPr>
              <w:t>硬化</w:t>
            </w:r>
            <w:r>
              <w:rPr>
                <w:rFonts w:hint="eastAsia" w:eastAsia="宋体"/>
                <w:color w:val="000000" w:themeColor="text1"/>
                <w:kern w:val="2"/>
                <w:highlight w:val="none"/>
                <w:lang w:eastAsia="zh-CN"/>
                <w14:textFill>
                  <w14:solidFill>
                    <w14:schemeClr w14:val="tx1"/>
                  </w14:solidFill>
                </w14:textFill>
              </w:rPr>
              <w:t>定期</w:t>
            </w:r>
            <w:r>
              <w:rPr>
                <w:rFonts w:hint="eastAsia" w:eastAsia="宋体"/>
                <w:color w:val="000000" w:themeColor="text1"/>
                <w:kern w:val="2"/>
                <w:highlight w:val="none"/>
                <w14:textFill>
                  <w14:solidFill>
                    <w14:schemeClr w14:val="tx1"/>
                  </w14:solidFill>
                </w14:textFill>
              </w:rPr>
              <w:t>洒水降尘等措施</w:t>
            </w:r>
            <w:r>
              <w:rPr>
                <w:rFonts w:hint="eastAsia" w:eastAsia="宋体"/>
                <w:color w:val="000000" w:themeColor="text1"/>
                <w:kern w:val="2"/>
                <w:highlight w:val="none"/>
                <w:lang w:eastAsia="zh-CN"/>
                <w14:textFill>
                  <w14:solidFill>
                    <w14:schemeClr w14:val="tx1"/>
                  </w14:solidFill>
                </w14:textFill>
              </w:rPr>
              <w:t>，砂石原料</w:t>
            </w:r>
            <w:r>
              <w:rPr>
                <w:rFonts w:hint="eastAsia" w:eastAsia="宋体"/>
                <w:color w:val="000000" w:themeColor="text1"/>
                <w:kern w:val="2"/>
                <w:highlight w:val="none"/>
                <w14:textFill>
                  <w14:solidFill>
                    <w14:schemeClr w14:val="tx1"/>
                  </w14:solidFill>
                </w14:textFill>
              </w:rPr>
              <w:t>堆放及运输车辆运输加盖篷布，不得超重、超载，故本项目的建设符合《中华人民共和国大气污染防治法》。</w:t>
            </w:r>
          </w:p>
          <w:p w14:paraId="23BF350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2、与《四川省“十四五”生态环境保护规划》符合性分析</w:t>
            </w:r>
          </w:p>
          <w:p w14:paraId="4701414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四川省人民政府关于印发《四川省人民政府关于印发》的通知（川府发〔2022〕2号），“五、深化大气污染协同控制，持续改善环境空气质量-（三）深化面源污染治理中加强扬尘污染治理。完善文明施工和绿色施工管理工作制度，积极探索将建设工程施工工地扬尘排污纳入环境税范围。全面落实建筑施工“六个百分百”，重要工地实现视频监控、PM</w:t>
            </w:r>
            <w:r>
              <w:rPr>
                <w:rFonts w:hint="eastAsia" w:eastAsia="宋体"/>
                <w:color w:val="000000" w:themeColor="text1"/>
                <w:kern w:val="2"/>
                <w:highlight w:val="none"/>
                <w:vertAlign w:val="subscript"/>
                <w14:textFill>
                  <w14:solidFill>
                    <w14:schemeClr w14:val="tx1"/>
                  </w14:solidFill>
                </w14:textFill>
              </w:rPr>
              <w:t>10</w:t>
            </w:r>
            <w:r>
              <w:rPr>
                <w:rFonts w:hint="eastAsia" w:eastAsia="宋体"/>
                <w:color w:val="000000" w:themeColor="text1"/>
                <w:kern w:val="2"/>
                <w:highlight w:val="none"/>
                <w14:textFill>
                  <w14:solidFill>
                    <w14:schemeClr w14:val="tx1"/>
                  </w14:solidFill>
                </w14:textFill>
              </w:rPr>
              <w:t>在线监测全覆盖。加强铁路、公路、港口等货物运输管理，采取有效的封闭措施减少扬尘污染，无法封闭的应建设防风抑尘设施。逐步提高道路机械化清扫率，鼓励在有条件的地方开展“5G+AI”人工智能清扫作业试点示范。到2025年，地级及以上城市建成区道路机械化清扫率达到80%，县城达到70%，成都平原地区地级及以上城市达到85%。”</w:t>
            </w:r>
          </w:p>
          <w:p w14:paraId="6B679D3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本项目设置有不低于堆场高度的严密围挡，</w:t>
            </w:r>
            <w:r>
              <w:rPr>
                <w:rFonts w:hint="eastAsia" w:eastAsia="宋体"/>
                <w:color w:val="000000" w:themeColor="text1"/>
                <w:kern w:val="2"/>
                <w:highlight w:val="none"/>
                <w:lang w:eastAsia="zh-CN"/>
                <w14:textFill>
                  <w14:solidFill>
                    <w14:schemeClr w14:val="tx1"/>
                  </w14:solidFill>
                </w14:textFill>
              </w:rPr>
              <w:t>上设顶棚遮盖，</w:t>
            </w:r>
            <w:r>
              <w:rPr>
                <w:rFonts w:hint="eastAsia" w:eastAsia="宋体"/>
                <w:color w:val="000000" w:themeColor="text1"/>
                <w:kern w:val="2"/>
                <w:highlight w:val="none"/>
                <w14:textFill>
                  <w14:solidFill>
                    <w14:schemeClr w14:val="tx1"/>
                  </w14:solidFill>
                </w14:textFill>
              </w:rPr>
              <w:t>并设置有遮盖及喷淋措施，防止扬尘产生；项目搅拌</w:t>
            </w:r>
            <w:r>
              <w:rPr>
                <w:rFonts w:hint="eastAsia" w:eastAsia="宋体"/>
                <w:color w:val="000000" w:themeColor="text1"/>
                <w:kern w:val="2"/>
                <w:highlight w:val="none"/>
                <w:lang w:eastAsia="zh-CN"/>
                <w14:textFill>
                  <w14:solidFill>
                    <w14:schemeClr w14:val="tx1"/>
                  </w14:solidFill>
                </w14:textFill>
              </w:rPr>
              <w:t>楼</w:t>
            </w:r>
            <w:r>
              <w:rPr>
                <w:rFonts w:hint="eastAsia" w:eastAsia="宋体"/>
                <w:color w:val="000000" w:themeColor="text1"/>
                <w:kern w:val="2"/>
                <w:highlight w:val="none"/>
                <w14:textFill>
                  <w14:solidFill>
                    <w14:schemeClr w14:val="tx1"/>
                  </w14:solidFill>
                </w14:textFill>
              </w:rPr>
              <w:t>设置有喷淋装置</w:t>
            </w:r>
            <w:r>
              <w:rPr>
                <w:rFonts w:hint="eastAsia" w:eastAsia="宋体"/>
                <w:color w:val="000000" w:themeColor="text1"/>
                <w:kern w:val="2"/>
                <w:highlight w:val="none"/>
                <w:lang w:eastAsia="zh-CN"/>
                <w14:textFill>
                  <w14:solidFill>
                    <w14:schemeClr w14:val="tx1"/>
                  </w14:solidFill>
                </w14:textFill>
              </w:rPr>
              <w:t>及除尘装置</w:t>
            </w:r>
            <w:r>
              <w:rPr>
                <w:rFonts w:hint="eastAsia" w:eastAsia="宋体"/>
                <w:color w:val="000000" w:themeColor="text1"/>
                <w:kern w:val="2"/>
                <w:highlight w:val="none"/>
                <w14:textFill>
                  <w14:solidFill>
                    <w14:schemeClr w14:val="tx1"/>
                  </w14:solidFill>
                </w14:textFill>
              </w:rPr>
              <w:t>，粉尘产生量较少；项目区进出口均设置有车辆冲洗设施，运输车辆采取篷布遮盖，不得超重、超载；厂区道路路面进行硬化，并定期洒水，本项目建设符合《四川省“十四五”生态环境保护规划》。</w:t>
            </w:r>
          </w:p>
          <w:p w14:paraId="610456D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3、与《四川省打赢蓝天保卫战等九个实施方案》符合性分析</w:t>
            </w:r>
          </w:p>
          <w:p w14:paraId="633E9C3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四川省打赢蓝天保卫战等九个实施方案》，“易产生扬尘的物料堆场采用封闭式仓库，不具备封闭式仓库改造的，应设置不低于料堆高度的严密围挡，并采取覆盖措施有效抑制扬尘污染；对场内进行搅拌、粉碎、筛分等作业时应喷水抑尘，重污染天气时禁止进行产生扬尘的作业；物料装卸配备喷雾等除尘设施，转运物料尽量采取封闭式皮带输送；厂区主要运输通道实施硬化并定期冲洗或湿式清扫，堆场进出口设置车辆冲洗设施，运输车辆实施密闭或全覆盖，及时收集清理对场外道路上洒落物料。”</w:t>
            </w:r>
          </w:p>
          <w:p w14:paraId="1ACDB39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本项目设置有不低于堆场高度的严密围挡，并设置有遮盖及喷淋措施，防止扬尘产生；项目搅拌工序均设置有喷淋装置</w:t>
            </w:r>
            <w:r>
              <w:rPr>
                <w:rFonts w:hint="eastAsia" w:eastAsia="宋体"/>
                <w:color w:val="000000" w:themeColor="text1"/>
                <w:kern w:val="2"/>
                <w:highlight w:val="none"/>
                <w:lang w:eastAsia="zh-CN"/>
                <w14:textFill>
                  <w14:solidFill>
                    <w14:schemeClr w14:val="tx1"/>
                  </w14:solidFill>
                </w14:textFill>
              </w:rPr>
              <w:t>及除尘装置</w:t>
            </w:r>
            <w:r>
              <w:rPr>
                <w:rFonts w:hint="eastAsia" w:eastAsia="宋体"/>
                <w:color w:val="000000" w:themeColor="text1"/>
                <w:kern w:val="2"/>
                <w:highlight w:val="none"/>
                <w14:textFill>
                  <w14:solidFill>
                    <w14:schemeClr w14:val="tx1"/>
                  </w14:solidFill>
                </w14:textFill>
              </w:rPr>
              <w:t>，粉尘产生量较少；项目区进出口均设置有车辆冲洗设施，运输车辆采取篷布遮盖，不得超重、超载；厂区道路路面进行硬化，并定期洒水；重污染天气不进行施工，因此，本项目的建设符合《四川省打赢蓝天保卫战等九个实施方案》。</w:t>
            </w:r>
          </w:p>
          <w:p w14:paraId="0352404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4、与遂宁市关于印发《贯彻落实&lt;四川省打赢蓝天保卫战等九个实施方案&gt;责任分工方案》的通知符合性分析</w:t>
            </w:r>
          </w:p>
          <w:p w14:paraId="7A76A37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遂宁市人民政府办公室关于印发《贯彻落实&lt;四川省打赢蓝天保卫战等九个实施方案&gt;责任分工方案》的通知，“四、加强扬尘管控，提高城市环境管理水平-（五）强化堆场扬尘管控。工业企业堆场实施规范化全封闭管理，采取覆盖措施有效控制扬尘污染；堆场内进行搅拌、粉碎、筛分等作业时应喷水抑尘。堆场进出口设置车辆冲洗设施，运输车辆实施密闭或全覆盖。加强砂石厂扬尘管控。”</w:t>
            </w:r>
          </w:p>
          <w:p w14:paraId="576E106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本项目堆场设置有不低于堆场高度的围挡，并设置</w:t>
            </w:r>
            <w:r>
              <w:rPr>
                <w:rFonts w:hint="eastAsia" w:eastAsia="宋体"/>
                <w:color w:val="000000" w:themeColor="text1"/>
                <w:kern w:val="2"/>
                <w:highlight w:val="none"/>
                <w:lang w:eastAsia="zh-CN"/>
                <w14:textFill>
                  <w14:solidFill>
                    <w14:schemeClr w14:val="tx1"/>
                  </w14:solidFill>
                </w14:textFill>
              </w:rPr>
              <w:t>顶棚遮盖</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eastAsia="zh-CN"/>
                <w14:textFill>
                  <w14:solidFill>
                    <w14:schemeClr w14:val="tx1"/>
                  </w14:solidFill>
                </w14:textFill>
              </w:rPr>
              <w:t>堆场内设置喷雾降尘装置</w:t>
            </w:r>
            <w:r>
              <w:rPr>
                <w:rFonts w:hint="eastAsia" w:eastAsia="宋体"/>
                <w:color w:val="000000" w:themeColor="text1"/>
                <w:kern w:val="2"/>
                <w:highlight w:val="none"/>
                <w14:textFill>
                  <w14:solidFill>
                    <w14:schemeClr w14:val="tx1"/>
                  </w14:solidFill>
                </w14:textFill>
              </w:rPr>
              <w:t>；本项目搅拌工序均设置有喷淋装置</w:t>
            </w:r>
            <w:r>
              <w:rPr>
                <w:rFonts w:hint="eastAsia" w:eastAsia="宋体"/>
                <w:color w:val="000000" w:themeColor="text1"/>
                <w:kern w:val="2"/>
                <w:highlight w:val="none"/>
                <w:lang w:eastAsia="zh-CN"/>
                <w14:textFill>
                  <w14:solidFill>
                    <w14:schemeClr w14:val="tx1"/>
                  </w14:solidFill>
                </w14:textFill>
              </w:rPr>
              <w:t>及除尘装置</w:t>
            </w:r>
            <w:r>
              <w:rPr>
                <w:rFonts w:hint="eastAsia" w:eastAsia="宋体"/>
                <w:color w:val="000000" w:themeColor="text1"/>
                <w:kern w:val="2"/>
                <w:highlight w:val="none"/>
                <w14:textFill>
                  <w14:solidFill>
                    <w14:schemeClr w14:val="tx1"/>
                  </w14:solidFill>
                </w14:textFill>
              </w:rPr>
              <w:t>，粉尘产生量较少；项目区进出口均设置有车辆冲洗设施，运输车辆采取篷布遮盖，不得超重、超载，本项目的建设符合遂宁市人民政府办公室关于印发《贯彻落实&lt;四川省打赢蓝天保卫战等九个实施方案&gt;责任分工方案》的通知。</w:t>
            </w:r>
          </w:p>
          <w:p w14:paraId="6B2B6EAA">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bCs/>
                <w:color w:val="000000" w:themeColor="text1"/>
                <w:kern w:val="2"/>
                <w:highlight w:val="none"/>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五</w:t>
            </w:r>
            <w:r>
              <w:rPr>
                <w:rFonts w:hint="eastAsia" w:eastAsia="宋体"/>
                <w:b/>
                <w:bCs/>
                <w:color w:val="000000" w:themeColor="text1"/>
                <w:kern w:val="2"/>
                <w:highlight w:val="none"/>
                <w14:textFill>
                  <w14:solidFill>
                    <w14:schemeClr w14:val="tx1"/>
                  </w14:solidFill>
                </w14:textFill>
              </w:rPr>
              <w:t>、与《预拌混凝土绿色生产及管理技术规程》（JGJ/T328-2014）符合性分析</w:t>
            </w:r>
          </w:p>
          <w:p w14:paraId="0CF32A0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中华人民共和国住房和城乡建设部公告第382号发布了《关于行业标准&lt;预拌混凝土绿色生产及管理技术规程&gt;的公告》，本项目与其符合性分析如下：</w:t>
            </w:r>
          </w:p>
          <w:p w14:paraId="45358637">
            <w:pPr>
              <w:pStyle w:val="41"/>
              <w:spacing w:line="360" w:lineRule="atLeast"/>
              <w:ind w:firstLine="422"/>
              <w:rPr>
                <w:rFonts w:eastAsia="宋体"/>
                <w:b/>
                <w:bCs/>
                <w:color w:val="000000" w:themeColor="text1"/>
                <w:kern w:val="2"/>
                <w:sz w:val="21"/>
                <w:szCs w:val="21"/>
                <w:highlight w:val="none"/>
                <w14:textFill>
                  <w14:solidFill>
                    <w14:schemeClr w14:val="tx1"/>
                  </w14:solidFill>
                </w14:textFill>
              </w:rPr>
            </w:pPr>
            <w:r>
              <w:rPr>
                <w:rFonts w:hint="eastAsia" w:eastAsia="宋体"/>
                <w:b/>
                <w:bCs/>
                <w:color w:val="000000" w:themeColor="text1"/>
                <w:kern w:val="2"/>
                <w:sz w:val="21"/>
                <w:szCs w:val="21"/>
                <w:highlight w:val="none"/>
                <w14:textFill>
                  <w14:solidFill>
                    <w14:schemeClr w14:val="tx1"/>
                  </w14:solidFill>
                </w14:textFill>
              </w:rPr>
              <w:t>表1-</w:t>
            </w:r>
            <w:r>
              <w:rPr>
                <w:rFonts w:hint="eastAsia" w:eastAsia="宋体"/>
                <w:b/>
                <w:bCs/>
                <w:color w:val="000000" w:themeColor="text1"/>
                <w:kern w:val="2"/>
                <w:sz w:val="21"/>
                <w:szCs w:val="21"/>
                <w:highlight w:val="none"/>
                <w:lang w:val="en-US" w:eastAsia="zh-CN"/>
                <w14:textFill>
                  <w14:solidFill>
                    <w14:schemeClr w14:val="tx1"/>
                  </w14:solidFill>
                </w14:textFill>
              </w:rPr>
              <w:t>3</w:t>
            </w:r>
            <w:r>
              <w:rPr>
                <w:rFonts w:hint="eastAsia" w:eastAsia="宋体"/>
                <w:b/>
                <w:bCs/>
                <w:color w:val="000000" w:themeColor="text1"/>
                <w:kern w:val="2"/>
                <w:sz w:val="21"/>
                <w:szCs w:val="21"/>
                <w:highlight w:val="none"/>
                <w14:textFill>
                  <w14:solidFill>
                    <w14:schemeClr w14:val="tx1"/>
                  </w14:solidFill>
                </w14:textFill>
              </w:rPr>
              <w:t xml:space="preserve">    本项目与《预拌混凝土绿色生产及管理技术规程》符合性分析</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0"/>
              <w:gridCol w:w="3613"/>
              <w:gridCol w:w="2896"/>
              <w:gridCol w:w="789"/>
            </w:tblGrid>
            <w:tr w14:paraId="3D6739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13" w:type="dxa"/>
                  <w:gridSpan w:val="2"/>
                  <w:tcBorders>
                    <w:tl2br w:val="nil"/>
                    <w:tr2bl w:val="nil"/>
                  </w:tcBorders>
                  <w:noWrap w:val="0"/>
                  <w:vAlign w:val="center"/>
                </w:tcPr>
                <w:p w14:paraId="196FAB6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文件</w:t>
                  </w: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要求</w:t>
                  </w:r>
                </w:p>
              </w:tc>
              <w:tc>
                <w:tcPr>
                  <w:tcW w:w="2896" w:type="dxa"/>
                  <w:tcBorders>
                    <w:tl2br w:val="nil"/>
                    <w:tr2bl w:val="nil"/>
                  </w:tcBorders>
                  <w:noWrap w:val="0"/>
                  <w:vAlign w:val="center"/>
                </w:tcPr>
                <w:p w14:paraId="0DE0280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本项目</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情况</w:t>
                  </w:r>
                </w:p>
              </w:tc>
              <w:tc>
                <w:tcPr>
                  <w:tcW w:w="789" w:type="dxa"/>
                  <w:tcBorders>
                    <w:tl2br w:val="nil"/>
                    <w:tr2bl w:val="nil"/>
                  </w:tcBorders>
                  <w:noWrap w:val="0"/>
                  <w:vAlign w:val="center"/>
                </w:tcPr>
                <w:p w14:paraId="1E9DF78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符合性</w:t>
                  </w:r>
                </w:p>
              </w:tc>
            </w:tr>
            <w:tr w14:paraId="1A85EF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52491B2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厂址选择</w:t>
                  </w:r>
                </w:p>
              </w:tc>
              <w:tc>
                <w:tcPr>
                  <w:tcW w:w="3613" w:type="dxa"/>
                  <w:tcBorders>
                    <w:tl2br w:val="nil"/>
                    <w:tr2bl w:val="nil"/>
                  </w:tcBorders>
                  <w:noWrap w:val="0"/>
                  <w:vAlign w:val="center"/>
                </w:tcPr>
                <w:p w14:paraId="1896D0E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3.1.1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搅拌站(楼)厂址应符合规划、建设和环境保护的要求</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22D88FA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本项目</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厂址选址符合当地用地规划；</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同时，本项目选址与外环境相容，通过落实污染防治措施，可满足环境保护要求。</w:t>
                  </w:r>
                </w:p>
              </w:tc>
              <w:tc>
                <w:tcPr>
                  <w:tcW w:w="789" w:type="dxa"/>
                  <w:tcBorders>
                    <w:tl2br w:val="nil"/>
                    <w:tr2bl w:val="nil"/>
                  </w:tcBorders>
                  <w:noWrap w:val="0"/>
                  <w:vAlign w:val="center"/>
                </w:tcPr>
                <w:p w14:paraId="0E336A1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68EA1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1242360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53D2EBC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3.1.2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搅拌站(楼)厂址宜满足生产过程中合理利用地方资源和方便供应产品的要求。</w:t>
                  </w:r>
                </w:p>
              </w:tc>
              <w:tc>
                <w:tcPr>
                  <w:tcW w:w="2896" w:type="dxa"/>
                  <w:tcBorders>
                    <w:tl2br w:val="nil"/>
                    <w:tr2bl w:val="nil"/>
                  </w:tcBorders>
                  <w:noWrap w:val="0"/>
                  <w:vAlign w:val="center"/>
                </w:tcPr>
                <w:p w14:paraId="0EA6483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厂址距离建设工地较近，方便产品供应。</w:t>
                  </w:r>
                </w:p>
              </w:tc>
              <w:tc>
                <w:tcPr>
                  <w:tcW w:w="789" w:type="dxa"/>
                  <w:tcBorders>
                    <w:tl2br w:val="nil"/>
                    <w:tr2bl w:val="nil"/>
                  </w:tcBorders>
                  <w:noWrap w:val="0"/>
                  <w:vAlign w:val="center"/>
                </w:tcPr>
                <w:p w14:paraId="7033A4EE">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0E8C2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7F67898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3.2</w:t>
                  </w:r>
                  <w:r>
                    <w:rPr>
                      <w:rFonts w:hint="default" w:ascii="Times New Roman" w:hAnsi="Times New Roman" w:eastAsia="宋体" w:cs="Times New Roman"/>
                      <w:color w:val="000000" w:themeColor="text1"/>
                      <w:sz w:val="21"/>
                      <w:szCs w:val="21"/>
                      <w:highlight w:val="none"/>
                      <w14:textFill>
                        <w14:solidFill>
                          <w14:schemeClr w14:val="tx1"/>
                        </w14:solidFill>
                      </w14:textFill>
                    </w:rPr>
                    <w:t>厂区要求</w:t>
                  </w:r>
                </w:p>
              </w:tc>
              <w:tc>
                <w:tcPr>
                  <w:tcW w:w="3613" w:type="dxa"/>
                  <w:tcBorders>
                    <w:tl2br w:val="nil"/>
                    <w:tr2bl w:val="nil"/>
                  </w:tcBorders>
                  <w:noWrap w:val="0"/>
                  <w:vAlign w:val="center"/>
                </w:tcPr>
                <w:p w14:paraId="23FD102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的生产区、办公区和生活区宜分区布置，可采取设置围墙和声屏障，或种植乔木和灌木来减弱或阻止粉尘和噪声传播，设置绿化带来规范引导人员和车辆流动等隔离措施降低生产区对生活区和办公区的环境影响</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05A7DCD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本项目场站内</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生产区、办公区和生活区分区布置</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于拌和区内设置办公区及实验室进行生产调度及产品检验</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拌合区、钢筋加工区、制梁区域分别设置独立封闭加工车间，有效降低粉尘、噪声对办公区影响。</w:t>
                  </w:r>
                </w:p>
              </w:tc>
              <w:tc>
                <w:tcPr>
                  <w:tcW w:w="789" w:type="dxa"/>
                  <w:tcBorders>
                    <w:tl2br w:val="nil"/>
                    <w:tr2bl w:val="nil"/>
                  </w:tcBorders>
                  <w:noWrap w:val="0"/>
                  <w:vAlign w:val="center"/>
                </w:tcPr>
                <w:p w14:paraId="350EE94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2F5C61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B410E9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7C12F9E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厂区内道路应硬化，功能应满足生产和运输要求</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7E9E4A3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厂区内道路全部硬化，满足生产和运输要求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A9CA8E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7ECA8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2DAF6E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058EF96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3.2.3</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厂区内未硬化的空地应进行绿化或采取其他防止扬尘措施，且应保持卫生清洁</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527B3ED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未硬化区域为绿化区</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789" w:type="dxa"/>
                  <w:tcBorders>
                    <w:tl2br w:val="nil"/>
                    <w:tr2bl w:val="nil"/>
                  </w:tcBorders>
                  <w:noWrap w:val="0"/>
                  <w:vAlign w:val="center"/>
                </w:tcPr>
                <w:p w14:paraId="00ED4BA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60D077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EA4BA1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5BCCC7B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3.2.4</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生产区内应设置生产废弃物存放处。生产类废弃物应分类存放、集中处理</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02AC87C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生产区</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拟</w:t>
                  </w:r>
                  <w:r>
                    <w:rPr>
                      <w:rFonts w:hint="default" w:ascii="Times New Roman" w:hAnsi="Times New Roman" w:eastAsia="宋体" w:cs="Times New Roman"/>
                      <w:color w:val="000000" w:themeColor="text1"/>
                      <w:sz w:val="21"/>
                      <w:szCs w:val="21"/>
                      <w:highlight w:val="none"/>
                      <w14:textFill>
                        <w14:solidFill>
                          <w14:schemeClr w14:val="tx1"/>
                        </w14:solidFill>
                      </w14:textFill>
                    </w:rPr>
                    <w:t>设置一座五级沉淀池</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C1535D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24CD76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1C877F8E">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2B34236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3.2.5</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厂区内应配备生产废水处置系统，宜建立雨水收集系统并有效利用</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604CBBB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厂区内建设</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五级</w:t>
                  </w:r>
                  <w:r>
                    <w:rPr>
                      <w:rFonts w:hint="default" w:ascii="Times New Roman" w:hAnsi="Times New Roman" w:eastAsia="宋体" w:cs="Times New Roman"/>
                      <w:color w:val="000000" w:themeColor="text1"/>
                      <w:sz w:val="21"/>
                      <w:szCs w:val="21"/>
                      <w:highlight w:val="none"/>
                      <w14:textFill>
                        <w14:solidFill>
                          <w14:schemeClr w14:val="tx1"/>
                        </w14:solidFill>
                      </w14:textFill>
                    </w:rPr>
                    <w:t>沉淀池</w:t>
                  </w:r>
                  <w:r>
                    <w:rPr>
                      <w:rFonts w:hint="default" w:ascii="Times New Roman" w:hAnsi="Times New Roman" w:eastAsia="宋体" w:cs="Times New Roman"/>
                      <w:strike w:val="0"/>
                      <w:dstrike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strike w:val="0"/>
                      <w:dstrike w:val="0"/>
                      <w:color w:val="000000" w:themeColor="text1"/>
                      <w:sz w:val="21"/>
                      <w:szCs w:val="21"/>
                      <w:highlight w:val="none"/>
                      <w:lang w:val="en-US" w:eastAsia="zh-CN"/>
                      <w14:textFill>
                        <w14:solidFill>
                          <w14:schemeClr w14:val="tx1"/>
                        </w14:solidFill>
                      </w14:textFill>
                    </w:rPr>
                    <w:t>雨水收集池</w:t>
                  </w:r>
                  <w:r>
                    <w:rPr>
                      <w:rFonts w:hint="default" w:ascii="Times New Roman" w:hAnsi="Times New Roman" w:eastAsia="宋体" w:cs="Times New Roman"/>
                      <w:strike w:val="0"/>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，能对厂区生产废水、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初期雨水、</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车辆冲洗废水进行有效沉淀和回用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59874EC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6A6B49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49A7DB1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74C7120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3.2.6</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厂区门前道路和环境应符合环境卫生、绿化和社会秩序的要求</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24B5BB6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厂区门前道路进行硬化和洒水，并对进出厂区车辆进行冲洗，以防止砂石撒漏和汽车车身及轮胎残留的泥沙掉落对周围道路及大气环境产生的不良影响</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DB446C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D37E4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3BF03E0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1"/>
                      <w:szCs w:val="21"/>
                      <w:highlight w:val="none"/>
                      <w14:textFill>
                        <w14:solidFill>
                          <w14:schemeClr w14:val="tx1"/>
                        </w14:solidFill>
                      </w14:textFill>
                    </w:rPr>
                    <w:t>设备设施</w:t>
                  </w:r>
                </w:p>
              </w:tc>
              <w:tc>
                <w:tcPr>
                  <w:tcW w:w="3613" w:type="dxa"/>
                  <w:tcBorders>
                    <w:tl2br w:val="nil"/>
                    <w:tr2bl w:val="nil"/>
                  </w:tcBorders>
                  <w:noWrap w:val="0"/>
                  <w:vAlign w:val="center"/>
                </w:tcPr>
                <w:p w14:paraId="7BB5B97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4.0.1预</w:t>
                  </w:r>
                  <w:r>
                    <w:rPr>
                      <w:rFonts w:hint="default" w:ascii="Times New Roman" w:hAnsi="Times New Roman" w:eastAsia="宋体" w:cs="Times New Roman"/>
                      <w:color w:val="000000" w:themeColor="text1"/>
                      <w:sz w:val="21"/>
                      <w:szCs w:val="21"/>
                      <w:highlight w:val="none"/>
                      <w14:textFill>
                        <w14:solidFill>
                          <w14:schemeClr w14:val="tx1"/>
                        </w14:solidFill>
                      </w14:textFill>
                    </w:rPr>
                    <w:t>拌混凝土绿色生产宜选用技术先进、低噪声、低能耗、低排放的搅拌、运输和试验设备。设备应符合国家现行标准《混凝土搅拌站(楼)》GB/T10171、《混凝土拌合楼》GB/T9142和《混凝土搅拌运输车》GB/T26408等的相应规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041B0A5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本项目搅拌楼、传送带等设施均选用低噪声、低能耗、低排放的设备，符合相应规定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02A17AE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0C35F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DACDE4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7A1B86E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4.0.2</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搅拌站(楼)宜采用整体封闭方式</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0269CD5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本项目拌和站（含</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、筒仓、传送装置等）</w:t>
                  </w:r>
                  <w:r>
                    <w:rPr>
                      <w:rFonts w:hint="default" w:ascii="Times New Roman" w:hAnsi="Times New Roman" w:eastAsia="宋体" w:cs="Times New Roman"/>
                      <w:color w:val="000000" w:themeColor="text1"/>
                      <w:sz w:val="21"/>
                      <w:szCs w:val="21"/>
                      <w:highlight w:val="none"/>
                      <w14:textFill>
                        <w14:solidFill>
                          <w14:schemeClr w14:val="tx1"/>
                        </w14:solidFill>
                      </w14:textFill>
                    </w:rPr>
                    <w:t>采用整体封闭结构</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33DBDAB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2AABC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183552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088D452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4.0.3</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搅拌站(楼)应安装除尘装置，并应保持正常使用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1C229D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搅拌楼安装除尘装置并保证正常使用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80C3F8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5582D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B21E88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03E5D13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4.0.4</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搅拌站(楼)的搅拌层和称量层宜设置水冲洗装置，冲洗产生的废水宜通过专用管道进入生产废水处置系统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40BD926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的搅拌层</w:t>
                  </w:r>
                  <w:r>
                    <w:rPr>
                      <w:rFonts w:hint="default" w:ascii="Times New Roman" w:hAnsi="Times New Roman" w:eastAsia="宋体" w:cs="Times New Roman"/>
                      <w:color w:val="000000" w:themeColor="text1"/>
                      <w:sz w:val="21"/>
                      <w:szCs w:val="21"/>
                      <w:highlight w:val="none"/>
                      <w14:textFill>
                        <w14:solidFill>
                          <w14:schemeClr w14:val="tx1"/>
                        </w14:solidFill>
                      </w14:textFill>
                    </w:rPr>
                    <w:t>和称量层均设置冲洗装置，每日生产完成后对拌合楼内部进行清洗，废水通过搅拌楼底部的专用排水沟收集进入五级沉淀池沉淀处理后回用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691EA55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E603C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29AD5D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2DBC139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4.0.5</w:t>
                  </w:r>
                  <w:r>
                    <w:rPr>
                      <w:rFonts w:hint="default" w:ascii="Times New Roman" w:hAnsi="Times New Roman" w:eastAsia="宋体" w:cs="Times New Roman"/>
                      <w:color w:val="000000" w:themeColor="text1"/>
                      <w:sz w:val="21"/>
                      <w:szCs w:val="21"/>
                      <w:highlight w:val="none"/>
                      <w14:textFill>
                        <w14:solidFill>
                          <w14:schemeClr w14:val="tx1"/>
                        </w14:solidFill>
                      </w14:textFill>
                    </w:rPr>
                    <w:t>搅拌主机卸料口应设置防喷溅设施，装料区域的地面和墙壁应保持清洁卫生</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896" w:type="dxa"/>
                  <w:tcBorders>
                    <w:tl2br w:val="nil"/>
                    <w:tr2bl w:val="nil"/>
                  </w:tcBorders>
                  <w:noWrap w:val="0"/>
                  <w:vAlign w:val="center"/>
                </w:tcPr>
                <w:p w14:paraId="22CFB6C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搅拌主机卸料口设置防喷溅设施，</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运营期间</w:t>
                  </w:r>
                  <w:r>
                    <w:rPr>
                      <w:rFonts w:hint="default" w:ascii="Times New Roman" w:hAnsi="Times New Roman" w:eastAsia="宋体" w:cs="Times New Roman"/>
                      <w:color w:val="000000" w:themeColor="text1"/>
                      <w:sz w:val="21"/>
                      <w:szCs w:val="21"/>
                      <w:highlight w:val="none"/>
                      <w14:textFill>
                        <w14:solidFill>
                          <w14:schemeClr w14:val="tx1"/>
                        </w14:solidFill>
                      </w14:textFill>
                    </w:rPr>
                    <w:t>保持装料区域的地面和墙壁的清洁卫生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738F49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7931F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32D1C1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0033DCF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4.0.6</w:t>
                  </w:r>
                  <w:r>
                    <w:rPr>
                      <w:rFonts w:hint="default" w:ascii="Times New Roman" w:hAnsi="Times New Roman" w:eastAsia="宋体" w:cs="Times New Roman"/>
                      <w:color w:val="000000" w:themeColor="text1"/>
                      <w:sz w:val="21"/>
                      <w:szCs w:val="21"/>
                      <w:highlight w:val="none"/>
                      <w14:textFill>
                        <w14:solidFill>
                          <w14:schemeClr w14:val="tx1"/>
                        </w14:solidFill>
                      </w14:textFill>
                    </w:rPr>
                    <w:t>粉料仓应标识清晰并配备料位控制系统，料位控制系统应定期检查维护</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4E204A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本项目粉料</w:t>
                  </w:r>
                  <w:r>
                    <w:rPr>
                      <w:rFonts w:hint="default" w:ascii="Times New Roman" w:hAnsi="Times New Roman" w:eastAsia="宋体" w:cs="Times New Roman"/>
                      <w:color w:val="000000" w:themeColor="text1"/>
                      <w:sz w:val="21"/>
                      <w:szCs w:val="21"/>
                      <w:highlight w:val="none"/>
                      <w14:textFill>
                        <w14:solidFill>
                          <w14:schemeClr w14:val="tx1"/>
                        </w14:solidFill>
                      </w14:textFill>
                    </w:rPr>
                    <w:t>仓</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均</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设置</w:t>
                  </w:r>
                  <w:r>
                    <w:rPr>
                      <w:rFonts w:hint="default" w:ascii="Times New Roman" w:hAnsi="Times New Roman" w:eastAsia="宋体" w:cs="Times New Roman"/>
                      <w:color w:val="000000" w:themeColor="text1"/>
                      <w:sz w:val="21"/>
                      <w:szCs w:val="21"/>
                      <w:highlight w:val="none"/>
                      <w14:textFill>
                        <w14:solidFill>
                          <w14:schemeClr w14:val="tx1"/>
                        </w14:solidFill>
                      </w14:textFill>
                    </w:rPr>
                    <w:t>清晰标识并配备料位控制系统，定期检查维护。</w:t>
                  </w:r>
                </w:p>
              </w:tc>
              <w:tc>
                <w:tcPr>
                  <w:tcW w:w="789" w:type="dxa"/>
                  <w:tcBorders>
                    <w:tl2br w:val="nil"/>
                    <w:tr2bl w:val="nil"/>
                  </w:tcBorders>
                  <w:noWrap w:val="0"/>
                  <w:vAlign w:val="center"/>
                </w:tcPr>
                <w:p w14:paraId="2B10889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20FAF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3FD91F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5AD66AF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4.0.7</w:t>
                  </w:r>
                  <w:r>
                    <w:rPr>
                      <w:rFonts w:hint="default" w:ascii="Times New Roman" w:hAnsi="Times New Roman" w:eastAsia="宋体" w:cs="Times New Roman"/>
                      <w:color w:val="000000" w:themeColor="text1"/>
                      <w:sz w:val="21"/>
                      <w:szCs w:val="21"/>
                      <w:highlight w:val="none"/>
                      <w14:textFill>
                        <w14:solidFill>
                          <w14:schemeClr w14:val="tx1"/>
                        </w14:solidFill>
                      </w14:textFill>
                    </w:rPr>
                    <w:t>骨料堆场应符合：</w:t>
                  </w:r>
                </w:p>
                <w:p w14:paraId="45B3DDD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硬化地面并确保排水通畅，</w:t>
                  </w:r>
                </w:p>
                <w:p w14:paraId="0C038AD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粗、细骨料应分隔堆放，</w:t>
                  </w:r>
                </w:p>
                <w:p w14:paraId="7287D0A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骨料堆场宜建成封闭式堆场，宜安装喷淋抑尘装置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59D7BF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本项目骨料砂石堆场</w:t>
                  </w:r>
                  <w:r>
                    <w:rPr>
                      <w:rFonts w:hint="default" w:ascii="Times New Roman" w:hAnsi="Times New Roman" w:eastAsia="宋体" w:cs="Times New Roman"/>
                      <w:color w:val="000000" w:themeColor="text1"/>
                      <w:sz w:val="21"/>
                      <w:szCs w:val="21"/>
                      <w:highlight w:val="none"/>
                      <w14:textFill>
                        <w14:solidFill>
                          <w14:schemeClr w14:val="tx1"/>
                        </w14:solidFill>
                      </w14:textFill>
                    </w:rPr>
                    <w:t>地面</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全部</w:t>
                  </w:r>
                  <w:r>
                    <w:rPr>
                      <w:rFonts w:hint="default" w:ascii="Times New Roman" w:hAnsi="Times New Roman" w:eastAsia="宋体" w:cs="Times New Roman"/>
                      <w:color w:val="000000" w:themeColor="text1"/>
                      <w:sz w:val="21"/>
                      <w:szCs w:val="21"/>
                      <w:highlight w:val="none"/>
                      <w14:textFill>
                        <w14:solidFill>
                          <w14:schemeClr w14:val="tx1"/>
                        </w14:solidFill>
                      </w14:textFill>
                    </w:rPr>
                    <w:t>硬化并将不同粒径的砂石料分隔存放，堆仓建三面围挡和彩钢顶棚，仅开放工作面，并在堆仓内安装喷淋抑尘装置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374FF2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B0E47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210B5B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55B078A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4.0.8</w:t>
                  </w:r>
                  <w:r>
                    <w:rPr>
                      <w:rFonts w:hint="default" w:ascii="Times New Roman" w:hAnsi="Times New Roman" w:eastAsia="宋体" w:cs="Times New Roman"/>
                      <w:color w:val="000000" w:themeColor="text1"/>
                      <w:sz w:val="21"/>
                      <w:szCs w:val="21"/>
                      <w:highlight w:val="none"/>
                      <w14:textFill>
                        <w14:solidFill>
                          <w14:schemeClr w14:val="tx1"/>
                        </w14:solidFill>
                      </w14:textFill>
                    </w:rPr>
                    <w:t>配料地仓宜与骨料仓一起封闭，配料用皮带输送机宜侧面封闭且上部加盖</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FCD054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配料仓（斗）均采用彩钢顶棚的</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封闭</w:t>
                  </w:r>
                  <w:r>
                    <w:rPr>
                      <w:rFonts w:hint="default" w:ascii="Times New Roman" w:hAnsi="Times New Roman" w:eastAsia="宋体" w:cs="Times New Roman"/>
                      <w:color w:val="000000" w:themeColor="text1"/>
                      <w:sz w:val="21"/>
                      <w:szCs w:val="21"/>
                      <w:highlight w:val="none"/>
                      <w14:textFill>
                        <w14:solidFill>
                          <w14:schemeClr w14:val="tx1"/>
                        </w14:solidFill>
                      </w14:textFill>
                    </w:rPr>
                    <w:t>设置，运输皮带均为侧面封闭且上部加盖</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924E52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66C5E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20FD11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511D832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4.0.9</w:t>
                  </w:r>
                  <w:r>
                    <w:rPr>
                      <w:rFonts w:hint="default" w:ascii="Times New Roman" w:hAnsi="Times New Roman" w:eastAsia="宋体" w:cs="Times New Roman"/>
                      <w:color w:val="000000" w:themeColor="text1"/>
                      <w:sz w:val="21"/>
                      <w:szCs w:val="21"/>
                      <w:highlight w:val="none"/>
                      <w14:textFill>
                        <w14:solidFill>
                          <w14:schemeClr w14:val="tx1"/>
                        </w14:solidFill>
                      </w14:textFill>
                    </w:rPr>
                    <w:t>粗、细骨料装卸作业宜采用布料机</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00C714A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本项目粗细骨料</w:t>
                  </w:r>
                  <w:r>
                    <w:rPr>
                      <w:rFonts w:hint="default" w:ascii="Times New Roman" w:hAnsi="Times New Roman" w:eastAsia="宋体" w:cs="Times New Roman"/>
                      <w:color w:val="000000" w:themeColor="text1"/>
                      <w:sz w:val="21"/>
                      <w:szCs w:val="21"/>
                      <w:highlight w:val="none"/>
                      <w14:textFill>
                        <w14:solidFill>
                          <w14:schemeClr w14:val="tx1"/>
                        </w14:solidFill>
                      </w14:textFill>
                    </w:rPr>
                    <w:t>装卸作业时，均采用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r>
                    <w:rPr>
                      <w:rFonts w:hint="default" w:ascii="Times New Roman" w:hAnsi="Times New Roman" w:eastAsia="宋体" w:cs="Times New Roman"/>
                      <w:color w:val="000000" w:themeColor="text1"/>
                      <w:sz w:val="21"/>
                      <w:szCs w:val="21"/>
                      <w:highlight w:val="none"/>
                      <w14:textFill>
                        <w14:solidFill>
                          <w14:schemeClr w14:val="tx1"/>
                        </w14:solidFill>
                      </w14:textFill>
                    </w:rPr>
                    <w:t>装卸料</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3E36C54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不冲突</w:t>
                  </w:r>
                </w:p>
              </w:tc>
            </w:tr>
            <w:tr w14:paraId="3AE6A5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38DE85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3112174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4.0.10当</w:t>
                  </w:r>
                  <w:r>
                    <w:rPr>
                      <w:rFonts w:hint="default" w:ascii="Times New Roman" w:hAnsi="Times New Roman" w:eastAsia="宋体" w:cs="Times New Roman"/>
                      <w:color w:val="000000" w:themeColor="text1"/>
                      <w:sz w:val="21"/>
                      <w:szCs w:val="21"/>
                      <w:highlight w:val="none"/>
                      <w14:textFill>
                        <w14:solidFill>
                          <w14:schemeClr w14:val="tx1"/>
                        </w14:solidFill>
                      </w14:textFill>
                    </w:rPr>
                    <w:t>处理废弃新拌混凝土的设备设施宜符合：</w:t>
                  </w:r>
                </w:p>
                <w:p w14:paraId="2F1CA4AC">
                  <w:pPr>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当废弃新拌混凝土用于成型小型预制构件时，应具有小型预制构件成型设备</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p w14:paraId="66213CBA">
                  <w:pPr>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当采用砂石分离机处置废弃新拌混凝土时，砂石分离机应状态良好且运行正常，可配备压滤机等处理设备</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p w14:paraId="240E53B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3、可配备压滤机等处理设备。</w:t>
                  </w:r>
                </w:p>
              </w:tc>
              <w:tc>
                <w:tcPr>
                  <w:tcW w:w="2896" w:type="dxa"/>
                  <w:tcBorders>
                    <w:tl2br w:val="nil"/>
                    <w:tr2bl w:val="nil"/>
                  </w:tcBorders>
                  <w:noWrap w:val="0"/>
                  <w:vAlign w:val="center"/>
                </w:tcPr>
                <w:p w14:paraId="29C87BA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废弃</w:t>
                  </w:r>
                  <w:r>
                    <w:rPr>
                      <w:rFonts w:hint="default" w:ascii="Times New Roman" w:hAnsi="Times New Roman" w:eastAsia="宋体" w:cs="Times New Roman"/>
                      <w:color w:val="000000" w:themeColor="text1"/>
                      <w:sz w:val="21"/>
                      <w:szCs w:val="21"/>
                      <w:highlight w:val="none"/>
                      <w14:textFill>
                        <w14:solidFill>
                          <w14:schemeClr w14:val="tx1"/>
                        </w14:solidFill>
                      </w14:textFill>
                    </w:rPr>
                    <w:t>新拌混凝土</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通过砂石分离机处理后回用于生产</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。场地内配备压滤机对沉淀池底泥进行脱水，脱水后泥浆经管道排入沉淀池沉淀处理。</w:t>
                  </w:r>
                </w:p>
              </w:tc>
              <w:tc>
                <w:tcPr>
                  <w:tcW w:w="789" w:type="dxa"/>
                  <w:tcBorders>
                    <w:tl2br w:val="nil"/>
                    <w:tr2bl w:val="nil"/>
                  </w:tcBorders>
                  <w:noWrap w:val="0"/>
                  <w:vAlign w:val="center"/>
                </w:tcPr>
                <w:p w14:paraId="32DBFC3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317B6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DB3065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2826DCF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预拌混凝土生产企业应配备运输车清洗装置，冲洗产生的废水应通过专用管道进入生产废水处置系统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180EF06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于场站进出口设置车辆冲洗装置，</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运输车清洗水通过进出厂区车辆洗车平台下部收集沟收集后在洗车废水收集池进行沉淀后回用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5D28B86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9E200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22DE9E8">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4615098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4.0.12</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搅拌站(楼)宜在皮带传输机、搅拌主机和卸料口等部分安装实时监控系统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1E6BD60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789" w:type="dxa"/>
                  <w:tcBorders>
                    <w:tl2br w:val="nil"/>
                    <w:tr2bl w:val="nil"/>
                  </w:tcBorders>
                  <w:noWrap w:val="0"/>
                  <w:vAlign w:val="center"/>
                </w:tcPr>
                <w:p w14:paraId="09908C5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不冲突</w:t>
                  </w:r>
                </w:p>
              </w:tc>
            </w:tr>
            <w:tr w14:paraId="05473E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7DE66F7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原材料</w:t>
                  </w:r>
                </w:p>
              </w:tc>
              <w:tc>
                <w:tcPr>
                  <w:tcW w:w="3613" w:type="dxa"/>
                  <w:tcBorders>
                    <w:tl2br w:val="nil"/>
                    <w:tr2bl w:val="nil"/>
                  </w:tcBorders>
                  <w:noWrap w:val="0"/>
                  <w:vAlign w:val="center"/>
                </w:tcPr>
                <w:p w14:paraId="38B6CDF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5.1.1</w:t>
                  </w:r>
                  <w:r>
                    <w:rPr>
                      <w:rFonts w:hint="default" w:ascii="Times New Roman" w:hAnsi="Times New Roman" w:eastAsia="宋体" w:cs="Times New Roman"/>
                      <w:color w:val="000000" w:themeColor="text1"/>
                      <w:sz w:val="21"/>
                      <w:szCs w:val="21"/>
                      <w:highlight w:val="none"/>
                      <w14:textFill>
                        <w14:solidFill>
                          <w14:schemeClr w14:val="tx1"/>
                        </w14:solidFill>
                      </w14:textFill>
                    </w:rPr>
                    <w:t>原材料的运输、装卸和存放应采取降低噪声和粉尘的措施。</w:t>
                  </w:r>
                </w:p>
              </w:tc>
              <w:tc>
                <w:tcPr>
                  <w:tcW w:w="2896" w:type="dxa"/>
                  <w:tcBorders>
                    <w:tl2br w:val="nil"/>
                    <w:tr2bl w:val="nil"/>
                  </w:tcBorders>
                  <w:noWrap w:val="0"/>
                  <w:vAlign w:val="center"/>
                </w:tcPr>
                <w:p w14:paraId="5B79717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本项目运输车均为密闭运输，</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w:t>
                  </w:r>
                  <w:r>
                    <w:rPr>
                      <w:rFonts w:hint="default" w:ascii="Times New Roman" w:hAnsi="Times New Roman" w:eastAsia="宋体" w:cs="Times New Roman"/>
                      <w:color w:val="000000" w:themeColor="text1"/>
                      <w:sz w:val="21"/>
                      <w:szCs w:val="21"/>
                      <w:highlight w:val="none"/>
                      <w14:textFill>
                        <w14:solidFill>
                          <w14:schemeClr w14:val="tx1"/>
                        </w14:solidFill>
                      </w14:textFill>
                    </w:rPr>
                    <w:t>均为三面围挡加盖顶棚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并设置喷雾降尘装置</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道路硬化</w:t>
                  </w:r>
                  <w:r>
                    <w:rPr>
                      <w:rFonts w:hint="default" w:ascii="Times New Roman" w:hAnsi="Times New Roman" w:eastAsia="宋体" w:cs="Times New Roman"/>
                      <w:color w:val="000000" w:themeColor="text1"/>
                      <w:sz w:val="21"/>
                      <w:szCs w:val="21"/>
                      <w:highlight w:val="none"/>
                      <w14:textFill>
                        <w14:solidFill>
                          <w14:schemeClr w14:val="tx1"/>
                        </w14:solidFill>
                      </w14:textFill>
                    </w:rPr>
                    <w:t>并禁止车辆在厂区内高速行驶</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B74617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7555C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1312A84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3D87F2C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5.1.2</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预拌混凝土生产用大宗粉料不宜使用袋装方式</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6A06BD6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w:t>
                  </w:r>
                  <w:r>
                    <w:rPr>
                      <w:rFonts w:hint="default" w:ascii="Times New Roman" w:hAnsi="Times New Roman" w:eastAsia="宋体" w:cs="Times New Roman"/>
                      <w:color w:val="000000" w:themeColor="text1"/>
                      <w:sz w:val="21"/>
                      <w:szCs w:val="21"/>
                      <w:highlight w:val="none"/>
                      <w14:textFill>
                        <w14:solidFill>
                          <w14:schemeClr w14:val="tx1"/>
                        </w14:solidFill>
                      </w14:textFill>
                    </w:rPr>
                    <w:t>项目使用粉料均通过专用的粉料运输车密闭运输，并通过自动衔接输料口输入粉料筒仓内</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1CEEE59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F01EC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5A0DC6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2296153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5.1.3</w:t>
                  </w:r>
                  <w:r>
                    <w:rPr>
                      <w:rFonts w:hint="default" w:ascii="Times New Roman" w:hAnsi="Times New Roman" w:eastAsia="宋体" w:cs="Times New Roman"/>
                      <w:color w:val="000000" w:themeColor="text1"/>
                      <w:sz w:val="21"/>
                      <w:szCs w:val="21"/>
                      <w:highlight w:val="none"/>
                      <w14:textFill>
                        <w14:solidFill>
                          <w14:schemeClr w14:val="tx1"/>
                        </w14:solidFill>
                      </w14:textFill>
                    </w:rPr>
                    <w:t>当掺加纤维等特殊原材料时，应安排专人负责技术操作和环境安全</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896" w:type="dxa"/>
                  <w:tcBorders>
                    <w:tl2br w:val="nil"/>
                    <w:tr2bl w:val="nil"/>
                  </w:tcBorders>
                  <w:noWrap w:val="0"/>
                  <w:vAlign w:val="center"/>
                </w:tcPr>
                <w:p w14:paraId="6BE70A3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本项目不涉及掺加纤维等特殊原材料</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44F488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44D21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17ECB078">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sz w:val="21"/>
                      <w:szCs w:val="21"/>
                      <w:highlight w:val="none"/>
                      <w14:textFill>
                        <w14:solidFill>
                          <w14:schemeClr w14:val="tx1"/>
                        </w14:solidFill>
                      </w14:textFill>
                    </w:rPr>
                    <w:t>生产废水和废浆</w:t>
                  </w:r>
                </w:p>
              </w:tc>
              <w:tc>
                <w:tcPr>
                  <w:tcW w:w="3613" w:type="dxa"/>
                  <w:tcBorders>
                    <w:tl2br w:val="nil"/>
                    <w:tr2bl w:val="nil"/>
                  </w:tcBorders>
                  <w:noWrap w:val="0"/>
                  <w:vAlign w:val="center"/>
                </w:tcPr>
                <w:p w14:paraId="26BCFA2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配备完善的生产废水处置系统，可包括排水沟系统、多级沉淀池系统和管道系统，排水沟系统应覆盖连通搅拌站(楼)装车层、骨料堆场、砂石分离机和车辆清洗场等区域，并与多级沉淀池连接，管道系统可连通多级沉淀池和搅拌主机</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49DA0F7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本项目设置生产区废水排水收集系统、沉淀池、排水沟和排水管道连接搅拌主机楼和</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；本项目使用沉淀池对生产废水进行沉淀处理，沉淀后的上清液回用作厂区抑尘</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及道路洒水抑尘。</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1C8BAB8">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E1CEA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F95C0C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11AD71C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5.2.2</w:t>
                  </w:r>
                  <w:r>
                    <w:rPr>
                      <w:rFonts w:hint="default" w:ascii="Times New Roman" w:hAnsi="Times New Roman" w:eastAsia="宋体" w:cs="Times New Roman"/>
                      <w:color w:val="000000" w:themeColor="text1"/>
                      <w:sz w:val="21"/>
                      <w:szCs w:val="21"/>
                      <w:highlight w:val="none"/>
                      <w14:textFill>
                        <w14:solidFill>
                          <w14:schemeClr w14:val="tx1"/>
                        </w14:solidFill>
                      </w14:textFill>
                    </w:rPr>
                    <w:t>当采用压滤机对废浆进行处理时，压滤后的废水应通过专用管道进入生产废水回收利用装置，压滤后的固体应做无害化处理。</w:t>
                  </w:r>
                </w:p>
              </w:tc>
              <w:tc>
                <w:tcPr>
                  <w:tcW w:w="2896" w:type="dxa"/>
                  <w:tcBorders>
                    <w:tl2br w:val="nil"/>
                    <w:tr2bl w:val="nil"/>
                  </w:tcBorders>
                  <w:noWrap w:val="0"/>
                  <w:vAlign w:val="center"/>
                </w:tcPr>
                <w:p w14:paraId="0B1E2F1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本项目压滤机对</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沉淀池泥浆（废浆）</w:t>
                  </w:r>
                  <w:r>
                    <w:rPr>
                      <w:rFonts w:hint="default" w:ascii="Times New Roman" w:hAnsi="Times New Roman" w:eastAsia="宋体" w:cs="Times New Roman"/>
                      <w:color w:val="000000" w:themeColor="text1"/>
                      <w:sz w:val="21"/>
                      <w:szCs w:val="21"/>
                      <w:highlight w:val="none"/>
                      <w14:textFill>
                        <w14:solidFill>
                          <w14:schemeClr w14:val="tx1"/>
                        </w14:solidFill>
                      </w14:textFill>
                    </w:rPr>
                    <w:t>进行处理，压滤后的废水应通过专用管道进入沉淀池进行沉淀处理，沉淀后的上清液回用作厂区抑尘</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及道路洒水抑尘。</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4F69F7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03A0C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0799F0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62F7F6A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5.2.3经沉淀或压滤处理的生产废水用作混凝土拌合用水相关规定....</w:t>
                  </w:r>
                </w:p>
              </w:tc>
              <w:tc>
                <w:tcPr>
                  <w:tcW w:w="2896" w:type="dxa"/>
                  <w:tcBorders>
                    <w:tl2br w:val="nil"/>
                    <w:tr2bl w:val="nil"/>
                  </w:tcBorders>
                  <w:noWrap w:val="0"/>
                  <w:vAlign w:val="center"/>
                </w:tcPr>
                <w:p w14:paraId="06F674F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生产废水经沉淀处理后用作场站降尘用水。</w:t>
                  </w:r>
                </w:p>
              </w:tc>
              <w:tc>
                <w:tcPr>
                  <w:tcW w:w="789" w:type="dxa"/>
                  <w:tcBorders>
                    <w:tl2br w:val="nil"/>
                    <w:tr2bl w:val="nil"/>
                  </w:tcBorders>
                  <w:noWrap w:val="0"/>
                  <w:vAlign w:val="center"/>
                </w:tcPr>
                <w:p w14:paraId="1C07601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不涉及</w:t>
                  </w:r>
                </w:p>
              </w:tc>
            </w:tr>
            <w:tr w14:paraId="65EB17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12FF410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755BA9E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5.2.4废浆用于预拌混凝土生产相关规定....</w:t>
                  </w:r>
                </w:p>
              </w:tc>
              <w:tc>
                <w:tcPr>
                  <w:tcW w:w="2896" w:type="dxa"/>
                  <w:tcBorders>
                    <w:tl2br w:val="nil"/>
                    <w:tr2bl w:val="nil"/>
                  </w:tcBorders>
                  <w:noWrap w:val="0"/>
                  <w:vAlign w:val="center"/>
                </w:tcPr>
                <w:p w14:paraId="4368145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废浆不</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用于预拌混凝土生产。采用</w:t>
                  </w:r>
                  <w:r>
                    <w:rPr>
                      <w:rFonts w:hint="default" w:ascii="Times New Roman" w:hAnsi="Times New Roman" w:eastAsia="宋体" w:cs="Times New Roman"/>
                      <w:color w:val="000000" w:themeColor="text1"/>
                      <w:sz w:val="21"/>
                      <w:szCs w:val="21"/>
                      <w:highlight w:val="none"/>
                      <w14:textFill>
                        <w14:solidFill>
                          <w14:schemeClr w14:val="tx1"/>
                        </w14:solidFill>
                      </w14:textFill>
                    </w:rPr>
                    <w:t>压滤机对</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沉淀池泥浆（废浆）</w:t>
                  </w:r>
                  <w:r>
                    <w:rPr>
                      <w:rFonts w:hint="default" w:ascii="Times New Roman" w:hAnsi="Times New Roman" w:eastAsia="宋体" w:cs="Times New Roman"/>
                      <w:color w:val="000000" w:themeColor="text1"/>
                      <w:sz w:val="21"/>
                      <w:szCs w:val="21"/>
                      <w:highlight w:val="none"/>
                      <w14:textFill>
                        <w14:solidFill>
                          <w14:schemeClr w14:val="tx1"/>
                        </w14:solidFill>
                      </w14:textFill>
                    </w:rPr>
                    <w:t>进行处理，</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p>
              </w:tc>
              <w:tc>
                <w:tcPr>
                  <w:tcW w:w="789" w:type="dxa"/>
                  <w:tcBorders>
                    <w:tl2br w:val="nil"/>
                    <w:tr2bl w:val="nil"/>
                  </w:tcBorders>
                  <w:noWrap w:val="0"/>
                  <w:vAlign w:val="center"/>
                </w:tcPr>
                <w:p w14:paraId="211204C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不涉及</w:t>
                  </w:r>
                </w:p>
              </w:tc>
            </w:tr>
            <w:tr w14:paraId="232A0A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5D4028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7D5ACCA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5.2.5</w:t>
                  </w:r>
                  <w:r>
                    <w:rPr>
                      <w:rFonts w:hint="default" w:ascii="Times New Roman" w:hAnsi="Times New Roman" w:eastAsia="宋体" w:cs="Times New Roman"/>
                      <w:color w:val="000000" w:themeColor="text1"/>
                      <w:sz w:val="21"/>
                      <w:szCs w:val="21"/>
                      <w:highlight w:val="none"/>
                      <w14:textFill>
                        <w14:solidFill>
                          <w14:schemeClr w14:val="tx1"/>
                        </w14:solidFill>
                      </w14:textFill>
                    </w:rPr>
                    <w:t>生产废水、废浆不宜用于制备预应力混凝土、装饰混凝土、高强混凝土和暴露于腐蚀环境的混凝土，不得用于制备使用碱活性或潜在碱活性骨料的混凝土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3841DD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生产废水经沉淀处理后用作场站抑尘用水。沉淀池</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（废浆）经设置压滤机脱水后，泥饼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本项目不使用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废水、</w:t>
                  </w:r>
                  <w:r>
                    <w:rPr>
                      <w:rFonts w:hint="default" w:ascii="Times New Roman" w:hAnsi="Times New Roman" w:eastAsia="宋体" w:cs="Times New Roman"/>
                      <w:color w:val="000000" w:themeColor="text1"/>
                      <w:sz w:val="21"/>
                      <w:szCs w:val="21"/>
                      <w:highlight w:val="none"/>
                      <w14:textFill>
                        <w14:solidFill>
                          <w14:schemeClr w14:val="tx1"/>
                        </w14:solidFill>
                      </w14:textFill>
                    </w:rPr>
                    <w:t>废浆进行回用生产。</w:t>
                  </w:r>
                </w:p>
              </w:tc>
              <w:tc>
                <w:tcPr>
                  <w:tcW w:w="789" w:type="dxa"/>
                  <w:tcBorders>
                    <w:tl2br w:val="nil"/>
                    <w:tr2bl w:val="nil"/>
                  </w:tcBorders>
                  <w:noWrap w:val="0"/>
                  <w:vAlign w:val="center"/>
                </w:tcPr>
                <w:p w14:paraId="0CA9EB7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符合</w:t>
                  </w:r>
                </w:p>
              </w:tc>
            </w:tr>
            <w:tr w14:paraId="53D853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444CFE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7026B45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5.2.6</w:t>
                  </w:r>
                  <w:r>
                    <w:rPr>
                      <w:rFonts w:hint="default" w:ascii="Times New Roman" w:hAnsi="Times New Roman" w:eastAsia="宋体" w:cs="Times New Roman"/>
                      <w:color w:val="000000" w:themeColor="text1"/>
                      <w:sz w:val="21"/>
                      <w:szCs w:val="21"/>
                      <w:highlight w:val="none"/>
                      <w14:textFill>
                        <w14:solidFill>
                          <w14:schemeClr w14:val="tx1"/>
                        </w14:solidFill>
                      </w14:textFill>
                    </w:rPr>
                    <w:t>经沉淀或压滤处理的生产废水也可用于硬化地面降尘和生产设备冲洗</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896" w:type="dxa"/>
                  <w:tcBorders>
                    <w:tl2br w:val="nil"/>
                    <w:tr2bl w:val="nil"/>
                  </w:tcBorders>
                  <w:noWrap w:val="0"/>
                  <w:vAlign w:val="center"/>
                </w:tcPr>
                <w:p w14:paraId="10CB3FF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生产废水经沉淀处理后用作场站降尘用水。</w:t>
                  </w:r>
                </w:p>
              </w:tc>
              <w:tc>
                <w:tcPr>
                  <w:tcW w:w="789" w:type="dxa"/>
                  <w:tcBorders>
                    <w:tl2br w:val="nil"/>
                    <w:tr2bl w:val="nil"/>
                  </w:tcBorders>
                  <w:noWrap w:val="0"/>
                  <w:vAlign w:val="center"/>
                </w:tcPr>
                <w:p w14:paraId="4074F69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符合</w:t>
                  </w:r>
                </w:p>
              </w:tc>
            </w:tr>
            <w:tr w14:paraId="568BAE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5A8515B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5.3</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废弃混凝土</w:t>
                  </w:r>
                </w:p>
              </w:tc>
              <w:tc>
                <w:tcPr>
                  <w:tcW w:w="3613" w:type="dxa"/>
                  <w:tcBorders>
                    <w:tl2br w:val="nil"/>
                    <w:tr2bl w:val="nil"/>
                  </w:tcBorders>
                  <w:noWrap w:val="0"/>
                  <w:vAlign w:val="center"/>
                </w:tcPr>
                <w:p w14:paraId="46BF114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5.3.1</w:t>
                  </w:r>
                  <w:r>
                    <w:rPr>
                      <w:rFonts w:hint="default" w:ascii="Times New Roman" w:hAnsi="Times New Roman" w:eastAsia="宋体" w:cs="Times New Roman"/>
                      <w:color w:val="000000" w:themeColor="text1"/>
                      <w:sz w:val="21"/>
                      <w:szCs w:val="21"/>
                      <w:highlight w:val="none"/>
                      <w14:textFill>
                        <w14:solidFill>
                          <w14:schemeClr w14:val="tx1"/>
                        </w14:solidFill>
                      </w14:textFill>
                    </w:rPr>
                    <w:t>废弃新拌混凝土可用于成型小型预制构件，也可采用砂石分离机进行处置。分离后的砂石应及时清理、分类使用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5BDFA69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本项目</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废弃新拌混凝土通过砂石分离机处理</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，分离砂石</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回用于生产。</w:t>
                  </w:r>
                </w:p>
              </w:tc>
              <w:tc>
                <w:tcPr>
                  <w:tcW w:w="789" w:type="dxa"/>
                  <w:tcBorders>
                    <w:tl2br w:val="nil"/>
                    <w:tr2bl w:val="nil"/>
                  </w:tcBorders>
                  <w:noWrap w:val="0"/>
                  <w:vAlign w:val="center"/>
                </w:tcPr>
                <w:p w14:paraId="53FC1A9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7A319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B6FE13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3D5C8D4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5.3.2</w:t>
                  </w:r>
                  <w:r>
                    <w:rPr>
                      <w:rFonts w:hint="default" w:ascii="Times New Roman" w:hAnsi="Times New Roman" w:eastAsia="宋体" w:cs="Times New Roman"/>
                      <w:color w:val="000000" w:themeColor="text1"/>
                      <w:sz w:val="21"/>
                      <w:szCs w:val="21"/>
                      <w:highlight w:val="none"/>
                      <w14:textFill>
                        <w14:solidFill>
                          <w14:schemeClr w14:val="tx1"/>
                        </w14:solidFill>
                      </w14:textFill>
                    </w:rPr>
                    <w:t>废弃硬化混凝土可生产再生骨料和粉料由预拌混凝土生产企业消纳利用，也可由其他固体废弃物再生利用机构消纳利用。</w:t>
                  </w:r>
                </w:p>
              </w:tc>
              <w:tc>
                <w:tcPr>
                  <w:tcW w:w="2896" w:type="dxa"/>
                  <w:tcBorders>
                    <w:tl2br w:val="nil"/>
                    <w:tr2bl w:val="nil"/>
                  </w:tcBorders>
                  <w:noWrap w:val="0"/>
                  <w:vAlign w:val="center"/>
                </w:tcPr>
                <w:p w14:paraId="01C3A24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项目</w:t>
                  </w:r>
                  <w:r>
                    <w:rPr>
                      <w:rFonts w:hint="default" w:ascii="Times New Roman" w:hAnsi="Times New Roman" w:eastAsia="宋体" w:cs="Times New Roman"/>
                      <w:color w:val="000000" w:themeColor="text1"/>
                      <w:sz w:val="21"/>
                      <w:szCs w:val="21"/>
                      <w:highlight w:val="none"/>
                      <w14:textFill>
                        <w14:solidFill>
                          <w14:schemeClr w14:val="tx1"/>
                        </w14:solidFill>
                      </w14:textFill>
                    </w:rPr>
                    <w:t>废弃硬化混凝土</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定期外运至G42线南充至成都段高速公路扩容工程弃渣场（经纬度：105.5903，30.6304）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F24DDD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0DFD7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1897DE0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噪声</w:t>
                  </w:r>
                </w:p>
              </w:tc>
              <w:tc>
                <w:tcPr>
                  <w:tcW w:w="3613" w:type="dxa"/>
                  <w:tcBorders>
                    <w:tl2br w:val="nil"/>
                    <w:tr2bl w:val="nil"/>
                  </w:tcBorders>
                  <w:noWrap w:val="0"/>
                  <w:vAlign w:val="center"/>
                </w:tcPr>
                <w:p w14:paraId="675948B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根据现行国家标准《声环境质量标准》GB3096和《工业企业厂界环境噪声排放标准》GB12348的规定以及规划确定厂界和厂区内声环境功能区类别，制订噪声区域方案和绘制噪声区划图，建立环境噪声监测网络与制度，评价和控制声环境质量</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52B3BD0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根据本项目所在位置及外环境噪声敏感点分布关系，本项目噪声排放执行《工业企业厂界环境噪声排放标准》GB12348中的2类标准</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3EAB563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D4AC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4F15575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6C2A854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5.4.2搅拌站（楼）的厂界声功能区类别划分和环境噪声应符合表5.4.2（《声环境质量标准》中各声环境功能区类别规定的标准限值。</w:t>
                  </w:r>
                </w:p>
              </w:tc>
              <w:tc>
                <w:tcPr>
                  <w:tcW w:w="2896" w:type="dxa"/>
                  <w:tcBorders>
                    <w:tl2br w:val="nil"/>
                    <w:tr2bl w:val="nil"/>
                  </w:tcBorders>
                  <w:noWrap w:val="0"/>
                  <w:vAlign w:val="center"/>
                </w:tcPr>
                <w:p w14:paraId="15BBDF7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本项目将主要产噪设备如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搅拌</w:t>
                  </w:r>
                  <w:r>
                    <w:rPr>
                      <w:rFonts w:hint="default" w:ascii="Times New Roman" w:hAnsi="Times New Roman" w:eastAsia="宋体" w:cs="Times New Roman"/>
                      <w:color w:val="000000" w:themeColor="text1"/>
                      <w:sz w:val="21"/>
                      <w:szCs w:val="21"/>
                      <w:highlight w:val="none"/>
                      <w14:textFill>
                        <w14:solidFill>
                          <w14:schemeClr w14:val="tx1"/>
                        </w14:solidFill>
                      </w14:textFill>
                    </w:rPr>
                    <w:t>楼等设备安装于密闭厂房内，</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安装在厂区中部远离周边敏感点</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减少对敏感点的影响</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根据噪声预测结果，本项目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运营过程中产生的噪声能够满足《工业企业厂界环境噪声排放标准》（GB12348-2008）2类标准，</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敏感点声环境质量可</w:t>
                  </w:r>
                  <w:r>
                    <w:rPr>
                      <w:rFonts w:hint="default" w:ascii="Times New Roman" w:hAnsi="Times New Roman" w:eastAsia="宋体" w:cs="Times New Roman"/>
                      <w:color w:val="000000" w:themeColor="text1"/>
                      <w:sz w:val="21"/>
                      <w:szCs w:val="21"/>
                      <w:highlight w:val="none"/>
                      <w14:textFill>
                        <w14:solidFill>
                          <w14:schemeClr w14:val="tx1"/>
                        </w14:solidFill>
                      </w14:textFill>
                    </w:rPr>
                    <w:t>满足《声环境质量标准》(GB3096-2008)中2类标准</w:t>
                  </w:r>
                </w:p>
              </w:tc>
              <w:tc>
                <w:tcPr>
                  <w:tcW w:w="789" w:type="dxa"/>
                  <w:tcBorders>
                    <w:tl2br w:val="nil"/>
                    <w:tr2bl w:val="nil"/>
                  </w:tcBorders>
                  <w:noWrap w:val="0"/>
                  <w:vAlign w:val="center"/>
                </w:tcPr>
                <w:p w14:paraId="4B1FF09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0768E8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4B32AD5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3613" w:type="dxa"/>
                  <w:tcBorders>
                    <w:tl2br w:val="nil"/>
                    <w:tr2bl w:val="nil"/>
                  </w:tcBorders>
                  <w:noWrap w:val="0"/>
                  <w:vAlign w:val="center"/>
                </w:tcPr>
                <w:p w14:paraId="31519A7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5.4.3</w:t>
                  </w:r>
                  <w:r>
                    <w:rPr>
                      <w:rFonts w:hint="default" w:ascii="Times New Roman" w:hAnsi="Times New Roman" w:eastAsia="宋体" w:cs="Times New Roman"/>
                      <w:color w:val="000000" w:themeColor="text1"/>
                      <w:sz w:val="21"/>
                      <w:szCs w:val="21"/>
                      <w:highlight w:val="none"/>
                      <w14:textFill>
                        <w14:solidFill>
                          <w14:schemeClr w14:val="tx1"/>
                        </w14:solidFill>
                      </w14:textFill>
                    </w:rPr>
                    <w:t>对产生噪声的主要设备设施应进行降噪处理</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5927DBA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本项目选用低噪声设备，并对</w:t>
                  </w:r>
                  <w:r>
                    <w:rPr>
                      <w:rFonts w:hint="default" w:ascii="Times New Roman" w:hAnsi="Times New Roman" w:eastAsia="宋体" w:cs="Times New Roman"/>
                      <w:color w:val="000000" w:themeColor="text1"/>
                      <w:sz w:val="21"/>
                      <w:szCs w:val="21"/>
                      <w:highlight w:val="none"/>
                      <w14:textFill>
                        <w14:solidFill>
                          <w14:schemeClr w14:val="tx1"/>
                        </w14:solidFill>
                      </w14:textFill>
                    </w:rPr>
                    <w:t>产生噪声的主要设备设施</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进行基础减震等降噪措施，降低噪声影响</w:t>
                  </w:r>
                </w:p>
              </w:tc>
              <w:tc>
                <w:tcPr>
                  <w:tcW w:w="789" w:type="dxa"/>
                  <w:tcBorders>
                    <w:tl2br w:val="nil"/>
                    <w:tr2bl w:val="nil"/>
                  </w:tcBorders>
                  <w:noWrap w:val="0"/>
                  <w:vAlign w:val="center"/>
                </w:tcPr>
                <w:p w14:paraId="671E2A7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6A8CEF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320BF3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3613" w:type="dxa"/>
                  <w:tcBorders>
                    <w:tl2br w:val="nil"/>
                    <w:tr2bl w:val="nil"/>
                  </w:tcBorders>
                  <w:noWrap w:val="0"/>
                  <w:vAlign w:val="center"/>
                </w:tcPr>
                <w:p w14:paraId="1F92696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5.4.4</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搅拌站(楼)临近居民区时，应在对应厂界安装隔音装置。</w:t>
                  </w:r>
                </w:p>
              </w:tc>
              <w:tc>
                <w:tcPr>
                  <w:tcW w:w="2896" w:type="dxa"/>
                  <w:tcBorders>
                    <w:tl2br w:val="nil"/>
                    <w:tr2bl w:val="nil"/>
                  </w:tcBorders>
                  <w:noWrap w:val="0"/>
                  <w:vAlign w:val="center"/>
                </w:tcPr>
                <w:p w14:paraId="6A3BD56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本项目搅拌楼距离居民区较远，通过厂房隔声及距离衰减，噪声可达标排放。</w:t>
                  </w:r>
                </w:p>
              </w:tc>
              <w:tc>
                <w:tcPr>
                  <w:tcW w:w="789" w:type="dxa"/>
                  <w:tcBorders>
                    <w:tl2br w:val="nil"/>
                    <w:tr2bl w:val="nil"/>
                  </w:tcBorders>
                  <w:noWrap w:val="0"/>
                  <w:vAlign w:val="center"/>
                </w:tcPr>
                <w:p w14:paraId="2285613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不涉及</w:t>
                  </w:r>
                </w:p>
              </w:tc>
            </w:tr>
            <w:tr w14:paraId="005B47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3ABE0C0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5.5</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生产性粉尘</w:t>
                  </w:r>
                </w:p>
              </w:tc>
              <w:tc>
                <w:tcPr>
                  <w:tcW w:w="3613" w:type="dxa"/>
                  <w:tcBorders>
                    <w:tl2br w:val="nil"/>
                    <w:tr2bl w:val="nil"/>
                  </w:tcBorders>
                  <w:noWrap w:val="0"/>
                  <w:vAlign w:val="center"/>
                </w:tcPr>
                <w:p w14:paraId="10FCA55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5.5.1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根据现行国家标准《环境空气质量标准》GB3095和《水泥工业大气污染物排放标准》GB4915的规定以及环境保护要求，确定厂界和厂区内环境空气功能区类别，制订厂区生产性粉尘监测点平面图，建立环境空气监测网络与制度，评价和控制厂区和厂界的环境空气质量。</w:t>
                  </w:r>
                </w:p>
              </w:tc>
              <w:tc>
                <w:tcPr>
                  <w:tcW w:w="2896" w:type="dxa"/>
                  <w:tcBorders>
                    <w:tl2br w:val="nil"/>
                    <w:tr2bl w:val="nil"/>
                  </w:tcBorders>
                  <w:noWrap w:val="0"/>
                  <w:vAlign w:val="center"/>
                </w:tcPr>
                <w:p w14:paraId="4756A87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本项目位于</w:t>
                  </w:r>
                  <w:r>
                    <w:rPr>
                      <w:rFonts w:hint="default" w:ascii="Times New Roman" w:hAnsi="Times New Roman" w:eastAsia="宋体" w:cs="Times New Roman"/>
                      <w:color w:val="000000" w:themeColor="text1"/>
                      <w:sz w:val="21"/>
                      <w:szCs w:val="21"/>
                      <w:highlight w:val="none"/>
                      <w14:textFill>
                        <w14:solidFill>
                          <w14:schemeClr w14:val="tx1"/>
                        </w14:solidFill>
                      </w14:textFill>
                    </w:rPr>
                    <w:t>《环境空气质量标准》GB3095</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中</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2类功能区，根据《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遂宁</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市2020年环境质量报告》及</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现状监测，本项目所在区域环境空气质量满足《环境空气质量标准》（GB3095-2012）二级标准的要求，说明区域环境空气质量现状良好。</w:t>
                  </w:r>
                </w:p>
              </w:tc>
              <w:tc>
                <w:tcPr>
                  <w:tcW w:w="789" w:type="dxa"/>
                  <w:tcBorders>
                    <w:tl2br w:val="nil"/>
                    <w:tr2bl w:val="nil"/>
                  </w:tcBorders>
                  <w:noWrap w:val="0"/>
                  <w:vAlign w:val="center"/>
                </w:tcPr>
                <w:p w14:paraId="7E747FF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9C833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F2A7B3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7EBAA74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5.5.2</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搅拌站(楼)厂界环境空气功能区类别划分和环境空气污染物中的总悬浮颗粒物、可吸入颗粒物和细颗粒物的浓度控制要求应符合：总悬浮颗粒物在农村地区的小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时</w:t>
                  </w:r>
                  <w:r>
                    <w:rPr>
                      <w:rFonts w:hint="default" w:ascii="Times New Roman" w:hAnsi="Times New Roman" w:eastAsia="宋体" w:cs="Times New Roman"/>
                      <w:color w:val="000000" w:themeColor="text1"/>
                      <w:sz w:val="21"/>
                      <w:szCs w:val="21"/>
                      <w:highlight w:val="none"/>
                      <w14:textFill>
                        <w14:solidFill>
                          <w14:schemeClr w14:val="tx1"/>
                        </w14:solidFill>
                      </w14:textFill>
                    </w:rPr>
                    <w:t>均值不超过300ug/m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，可吸入颗粒物在农村地区的小时均值不超过150ug/m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，细颗粒物在农村地区的小时均值不超过75ug/m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的规定。</w:t>
                  </w:r>
                </w:p>
              </w:tc>
              <w:tc>
                <w:tcPr>
                  <w:tcW w:w="2896" w:type="dxa"/>
                  <w:tcBorders>
                    <w:tl2br w:val="nil"/>
                    <w:tr2bl w:val="nil"/>
                  </w:tcBorders>
                  <w:noWrap w:val="0"/>
                  <w:vAlign w:val="center"/>
                </w:tcPr>
                <w:p w14:paraId="7C85323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运营期执行</w:t>
                  </w:r>
                  <w:r>
                    <w:rPr>
                      <w:rFonts w:hint="default" w:ascii="Times New Roman" w:hAnsi="Times New Roman" w:eastAsia="宋体" w:cs="Times New Roman"/>
                      <w:color w:val="000000" w:themeColor="text1"/>
                      <w:sz w:val="21"/>
                      <w:szCs w:val="21"/>
                      <w:highlight w:val="none"/>
                      <w14:textFill>
                        <w14:solidFill>
                          <w14:schemeClr w14:val="tx1"/>
                        </w14:solidFill>
                      </w14:textFill>
                    </w:rPr>
                    <w:t>总悬浮颗粒物小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时</w:t>
                  </w:r>
                  <w:r>
                    <w:rPr>
                      <w:rFonts w:hint="default" w:ascii="Times New Roman" w:hAnsi="Times New Roman" w:eastAsia="宋体" w:cs="Times New Roman"/>
                      <w:color w:val="000000" w:themeColor="text1"/>
                      <w:sz w:val="21"/>
                      <w:szCs w:val="21"/>
                      <w:highlight w:val="none"/>
                      <w14:textFill>
                        <w14:solidFill>
                          <w14:schemeClr w14:val="tx1"/>
                        </w14:solidFill>
                      </w14:textFill>
                    </w:rPr>
                    <w:t>均值不超过300ug/m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、可吸入颗粒物小时均值不超过150ug/m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，和细颗粒物的小时均值不超过75ug/m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的规定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140B443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4C4CC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7156C9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7A94839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5.5.4</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预拌混凝土绿色生产宜采取下列防尘技术措施：1、对产生粉尘排放的设备设施或场所进行封闭处理或安装除尘装置，2、采用低粉尘排放量的生产、运输和检测设备，3、利用喷淋装置对砂石进行预湿处理</w:t>
                  </w:r>
                </w:p>
              </w:tc>
              <w:tc>
                <w:tcPr>
                  <w:tcW w:w="2896" w:type="dxa"/>
                  <w:tcBorders>
                    <w:tl2br w:val="nil"/>
                    <w:tr2bl w:val="nil"/>
                  </w:tcBorders>
                  <w:noWrap w:val="0"/>
                  <w:vAlign w:val="center"/>
                </w:tcPr>
                <w:p w14:paraId="394A8E4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本项目对搅拌楼进行全密闭处理，砂石料堆仓修建三面围挡+彩钢顶棚并设喷雾抑尘装置，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水泥筒仓</w:t>
                  </w:r>
                  <w:r>
                    <w:rPr>
                      <w:rFonts w:hint="default" w:ascii="Times New Roman" w:hAnsi="Times New Roman" w:eastAsia="宋体" w:cs="Times New Roman"/>
                      <w:color w:val="000000" w:themeColor="text1"/>
                      <w:sz w:val="21"/>
                      <w:szCs w:val="21"/>
                      <w:highlight w:val="none"/>
                      <w14:textFill>
                        <w14:solidFill>
                          <w14:schemeClr w14:val="tx1"/>
                        </w14:solidFill>
                      </w14:textFill>
                    </w:rPr>
                    <w:t>仓顶安装袋式除尘器，收集的粉尘全部回用，传送带均采用侧面围挡、顶部遮盖的形式设置，其余生产设备均使用低产尘量的设备，以降低</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粉</w:t>
                  </w:r>
                  <w:r>
                    <w:rPr>
                      <w:rFonts w:hint="default" w:ascii="Times New Roman" w:hAnsi="Times New Roman" w:eastAsia="宋体" w:cs="Times New Roman"/>
                      <w:color w:val="000000" w:themeColor="text1"/>
                      <w:sz w:val="21"/>
                      <w:szCs w:val="21"/>
                      <w:highlight w:val="none"/>
                      <w14:textFill>
                        <w14:solidFill>
                          <w14:schemeClr w14:val="tx1"/>
                        </w14:solidFill>
                      </w14:textFill>
                    </w:rPr>
                    <w:t>尘排放量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F4840B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69639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06950D9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w:t>
                  </w:r>
                  <w:r>
                    <w:rPr>
                      <w:rFonts w:hint="default" w:ascii="Times New Roman" w:hAnsi="Times New Roman" w:eastAsia="宋体" w:cs="Times New Roman"/>
                      <w:color w:val="000000" w:themeColor="text1"/>
                      <w:sz w:val="21"/>
                      <w:szCs w:val="21"/>
                      <w:highlight w:val="none"/>
                      <w14:textFill>
                        <w14:solidFill>
                          <w14:schemeClr w14:val="tx1"/>
                        </w14:solidFill>
                      </w14:textFill>
                    </w:rPr>
                    <w:t>运输管理</w:t>
                  </w:r>
                </w:p>
              </w:tc>
              <w:tc>
                <w:tcPr>
                  <w:tcW w:w="3613" w:type="dxa"/>
                  <w:tcBorders>
                    <w:tl2br w:val="nil"/>
                    <w:tr2bl w:val="nil"/>
                  </w:tcBorders>
                  <w:noWrap w:val="0"/>
                  <w:vAlign w:val="center"/>
                </w:tcPr>
                <w:p w14:paraId="5F63037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5.6.1</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运输车应达到当地机动车污染物排放标准要求，并应定期保养</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8DAE15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本项目原料、成品运输车均使用专用砂石、</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成品</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运输车，并定期保养</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5E66030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6C190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6CCA3F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3D6CC29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5.6.2</w:t>
                  </w:r>
                  <w:r>
                    <w:rPr>
                      <w:rFonts w:hint="default" w:ascii="Times New Roman" w:hAnsi="Times New Roman" w:eastAsia="宋体" w:cs="Times New Roman"/>
                      <w:color w:val="000000" w:themeColor="text1"/>
                      <w:sz w:val="21"/>
                      <w:szCs w:val="21"/>
                      <w:highlight w:val="none"/>
                      <w14:textFill>
                        <w14:solidFill>
                          <w14:schemeClr w14:val="tx1"/>
                        </w14:solidFill>
                      </w14:textFill>
                    </w:rPr>
                    <w:t>原材料和产品运输过程应保持清洁卫生，符合环境卫生要求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70ACF98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原材料及产品运输车</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进出场地均进行车辆冲洗，</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运输过程中均可保持清洁，符合环境卫生要求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0A0334E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84197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90A06A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577639C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5.6.3</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预拌混凝土绿色生产应制定运输管理制度，并应合理指挥调度车辆，且宜采用定位系统监控车辆运行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124AD85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本项目运营期将</w:t>
                  </w:r>
                  <w:r>
                    <w:rPr>
                      <w:rFonts w:hint="default" w:ascii="Times New Roman" w:hAnsi="Times New Roman" w:eastAsia="宋体" w:cs="Times New Roman"/>
                      <w:color w:val="000000" w:themeColor="text1"/>
                      <w:sz w:val="21"/>
                      <w:szCs w:val="21"/>
                      <w:highlight w:val="none"/>
                      <w14:textFill>
                        <w14:solidFill>
                          <w14:schemeClr w14:val="tx1"/>
                        </w14:solidFill>
                      </w14:textFill>
                    </w:rPr>
                    <w:t>制定运输管理制度，并合理指挥调度车辆</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62ABC25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3E2E2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E2F3FA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4DE4283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5.6.4</w:t>
                  </w:r>
                  <w:r>
                    <w:rPr>
                      <w:rFonts w:hint="default" w:ascii="Times New Roman" w:hAnsi="Times New Roman" w:eastAsia="宋体" w:cs="Times New Roman"/>
                      <w:color w:val="000000" w:themeColor="text1"/>
                      <w:sz w:val="21"/>
                      <w:szCs w:val="21"/>
                      <w:highlight w:val="none"/>
                      <w14:textFill>
                        <w14:solidFill>
                          <w14:schemeClr w14:val="tx1"/>
                        </w14:solidFill>
                      </w14:textFill>
                    </w:rPr>
                    <w:t>冲洗运输车辆宜使用循环水，冲洗运输车产生的废水可进入废水回收利用设施</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59D9BA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本项目在厂区进出口设置车辆清洗平台，平台旁设置车辆清洗废水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，收集车辆清洗废水后</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w:t>
                  </w:r>
                  <w:r>
                    <w:rPr>
                      <w:rFonts w:hint="default" w:ascii="Times New Roman" w:hAnsi="Times New Roman" w:eastAsia="宋体" w:cs="Times New Roman"/>
                      <w:color w:val="000000" w:themeColor="text1"/>
                      <w:sz w:val="21"/>
                      <w:szCs w:val="21"/>
                      <w:highlight w:val="none"/>
                      <w14:textFill>
                        <w14:solidFill>
                          <w14:schemeClr w14:val="tx1"/>
                        </w14:solidFill>
                      </w14:textFill>
                    </w:rPr>
                    <w:t>沉淀回用，不外排。</w:t>
                  </w:r>
                </w:p>
              </w:tc>
              <w:tc>
                <w:tcPr>
                  <w:tcW w:w="789" w:type="dxa"/>
                  <w:tcBorders>
                    <w:tl2br w:val="nil"/>
                    <w:tr2bl w:val="nil"/>
                  </w:tcBorders>
                  <w:noWrap w:val="0"/>
                  <w:vAlign w:val="center"/>
                </w:tcPr>
                <w:p w14:paraId="3F1F95D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bl>
          <w:p w14:paraId="47C23600">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w:t>
            </w:r>
            <w:r>
              <w:rPr>
                <w:rFonts w:hint="eastAsia" w:eastAsia="宋体"/>
                <w:color w:val="000000" w:themeColor="text1"/>
                <w:kern w:val="2"/>
                <w:highlight w:val="none"/>
                <w14:textFill>
                  <w14:solidFill>
                    <w14:schemeClr w14:val="tx1"/>
                  </w14:solidFill>
                </w14:textFill>
              </w:rPr>
              <w:t>，本项目符合《预拌混凝土绿色生产及管理技术规程》（JGJ/T328-2014）相关要求。</w:t>
            </w:r>
          </w:p>
          <w:p w14:paraId="5E3B4D53">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bCs/>
                <w:color w:val="000000" w:themeColor="text1"/>
                <w:kern w:val="2"/>
                <w:highlight w:val="none"/>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六</w:t>
            </w:r>
            <w:r>
              <w:rPr>
                <w:rFonts w:hint="eastAsia" w:eastAsia="宋体"/>
                <w:b/>
                <w:bCs/>
                <w:color w:val="000000" w:themeColor="text1"/>
                <w:kern w:val="2"/>
                <w:highlight w:val="none"/>
                <w14:textFill>
                  <w14:solidFill>
                    <w14:schemeClr w14:val="tx1"/>
                  </w14:solidFill>
                </w14:textFill>
              </w:rPr>
              <w:t>、与《四川省绿色环保搅拌站建设、管理和评价标准》（DBJ51/T104-2018）符合性分析</w:t>
            </w:r>
          </w:p>
          <w:p w14:paraId="2403D40B">
            <w:pPr>
              <w:pStyle w:val="41"/>
              <w:keepNext w:val="0"/>
              <w:keepLines w:val="0"/>
              <w:pageBreakBefore w:val="0"/>
              <w:widowControl w:val="0"/>
              <w:kinsoku/>
              <w:wordWrap w:val="0"/>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对照《四川省绿色环保搅拌站建设、管理和评价标准》（DBJ51/T104-2018），本项目与相关要求符合性见下表。</w:t>
            </w:r>
          </w:p>
          <w:p w14:paraId="54FC6F98">
            <w:pPr>
              <w:spacing w:line="360" w:lineRule="atLeast"/>
              <w:ind w:firstLine="422" w:firstLineChars="200"/>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表1-</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4  </w:t>
            </w:r>
            <w:r>
              <w:rPr>
                <w:rFonts w:ascii="Times New Roman" w:hAnsi="Times New Roman" w:eastAsia="宋体"/>
                <w:b/>
                <w:bCs/>
                <w:color w:val="000000" w:themeColor="text1"/>
                <w:szCs w:val="21"/>
                <w:highlight w:val="none"/>
                <w14:textFill>
                  <w14:solidFill>
                    <w14:schemeClr w14:val="tx1"/>
                  </w14:solidFill>
                </w14:textFill>
              </w:rPr>
              <w:t xml:space="preserve">  与《四川省绿色环保搅拌站建设、管理和评价标准》符合性分析</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99"/>
              <w:gridCol w:w="3372"/>
              <w:gridCol w:w="3158"/>
              <w:gridCol w:w="769"/>
            </w:tblGrid>
            <w:tr w14:paraId="4EE03A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07E1A1C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序号</w:t>
                  </w:r>
                </w:p>
              </w:tc>
              <w:tc>
                <w:tcPr>
                  <w:tcW w:w="2162" w:type="pct"/>
                  <w:vAlign w:val="center"/>
                </w:tcPr>
                <w:p w14:paraId="1ACE886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标准要求</w:t>
                  </w:r>
                </w:p>
              </w:tc>
              <w:tc>
                <w:tcPr>
                  <w:tcW w:w="2024" w:type="pct"/>
                  <w:vAlign w:val="center"/>
                </w:tcPr>
                <w:p w14:paraId="57E1CA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本项目</w:t>
                  </w:r>
                  <w:r>
                    <w:rPr>
                      <w:rFonts w:hint="eastAsia" w:ascii="Times New Roman" w:hAnsi="Times New Roman" w:eastAsia="宋体"/>
                      <w:b/>
                      <w:bCs/>
                      <w:color w:val="000000" w:themeColor="text1"/>
                      <w:szCs w:val="21"/>
                      <w:highlight w:val="none"/>
                      <w14:textFill>
                        <w14:solidFill>
                          <w14:schemeClr w14:val="tx1"/>
                        </w14:solidFill>
                      </w14:textFill>
                    </w:rPr>
                    <w:t>情况</w:t>
                  </w:r>
                </w:p>
              </w:tc>
              <w:tc>
                <w:tcPr>
                  <w:tcW w:w="493" w:type="pct"/>
                  <w:vAlign w:val="center"/>
                </w:tcPr>
                <w:p w14:paraId="1DCE979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符合性</w:t>
                  </w:r>
                </w:p>
              </w:tc>
            </w:tr>
            <w:tr w14:paraId="58ECD5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06087F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1总则</w:t>
                  </w:r>
                </w:p>
              </w:tc>
              <w:tc>
                <w:tcPr>
                  <w:tcW w:w="2162" w:type="pct"/>
                  <w:vAlign w:val="center"/>
                </w:tcPr>
                <w:p w14:paraId="0EF0AC9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1.0.3预拌混凝土搅拌站年产能规模应不小于3×10</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m</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。预拌砂浆搅拌站的湿拌砂浆年产能规模应不小于2×10</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m</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b w:val="0"/>
                      <w:bCs w:val="0"/>
                      <w:color w:val="000000" w:themeColor="text1"/>
                      <w:szCs w:val="21"/>
                      <w:highlight w:val="none"/>
                      <w:vertAlign w:val="baseline"/>
                      <w:lang w:val="en-US" w:eastAsia="zh-CN"/>
                      <w14:textFill>
                        <w14:solidFill>
                          <w14:schemeClr w14:val="tx1"/>
                        </w14:solidFill>
                      </w14:textFill>
                    </w:rPr>
                    <w:t>，</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干混砂浆年产能规模应不小于3×10</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t。搅拌站的年产能规模与生产线应相协调一致。</w:t>
                  </w:r>
                </w:p>
              </w:tc>
              <w:tc>
                <w:tcPr>
                  <w:tcW w:w="2024" w:type="pct"/>
                  <w:vAlign w:val="center"/>
                </w:tcPr>
                <w:p w14:paraId="68EE1C9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highlight w:val="none"/>
                      <w:lang w:eastAsia="zh-CN"/>
                      <w14:textFill>
                        <w14:solidFill>
                          <w14:schemeClr w14:val="tx1"/>
                        </w14:solidFill>
                      </w14:textFill>
                    </w:rPr>
                    <w:t>本项目属于临时</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预拌混凝土搅拌站，</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1#机组生产拌和能力为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/h、2#机组生产拌和能力为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/h。</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根据施工调度进行适应性生产，总产能1.332</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×10</w:t>
                  </w:r>
                  <w:r>
                    <w:rPr>
                      <w:rFonts w:hint="eastAsia" w:ascii="Times New Roman" w:hAnsi="Times New Roman" w:eastAsia="宋体"/>
                      <w:b w:val="0"/>
                      <w:bCs w:val="0"/>
                      <w:color w:val="000000" w:themeColor="text1"/>
                      <w:sz w:val="2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m</w:t>
                  </w:r>
                  <w:r>
                    <w:rPr>
                      <w:rFonts w:hint="eastAsia" w:ascii="Times New Roman" w:hAnsi="Times New Roman" w:eastAsia="宋体"/>
                      <w:b w:val="0"/>
                      <w:bCs w:val="0"/>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w:t>
                  </w:r>
                </w:p>
              </w:tc>
              <w:tc>
                <w:tcPr>
                  <w:tcW w:w="493" w:type="pct"/>
                  <w:vAlign w:val="center"/>
                </w:tcPr>
                <w:p w14:paraId="02979A4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 w:val="21"/>
                      <w:szCs w:val="21"/>
                      <w:highlight w:val="none"/>
                      <w:lang w:eastAsia="zh-CN"/>
                      <w14:textFill>
                        <w14:solidFill>
                          <w14:schemeClr w14:val="tx1"/>
                        </w14:solidFill>
                      </w14:textFill>
                    </w:rPr>
                    <w:t>不冲突</w:t>
                  </w:r>
                </w:p>
              </w:tc>
            </w:tr>
            <w:tr w14:paraId="0506BC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restart"/>
                  <w:vAlign w:val="center"/>
                </w:tcPr>
                <w:p w14:paraId="7B3FD5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3基本规定</w:t>
                  </w:r>
                </w:p>
              </w:tc>
              <w:tc>
                <w:tcPr>
                  <w:tcW w:w="2162" w:type="pct"/>
                  <w:vAlign w:val="center"/>
                </w:tcPr>
                <w:p w14:paraId="759934B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3.0.3搅拌站的机械与设备应完善、齐备，应选用技术先进、低能耗、低排放、低噪声且不应属于国家和四川省限制和淘汰的类别。</w:t>
                  </w:r>
                </w:p>
              </w:tc>
              <w:tc>
                <w:tcPr>
                  <w:tcW w:w="2024" w:type="pct"/>
                  <w:vAlign w:val="center"/>
                </w:tcPr>
                <w:p w14:paraId="374A789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经核实，本项目</w:t>
                  </w: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机械与设备完善、齐备</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，均选用</w:t>
                  </w: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技术先进、低能耗、低排放、低噪声</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设置，均不属于</w:t>
                  </w: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国家和四川省限制和淘汰的类别</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w:t>
                  </w:r>
                </w:p>
              </w:tc>
              <w:tc>
                <w:tcPr>
                  <w:tcW w:w="493" w:type="pct"/>
                  <w:vAlign w:val="center"/>
                </w:tcPr>
                <w:p w14:paraId="3E3634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22578F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3FB782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5AC23EF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3.0.4搅拌站使用的水泥必须全部为散装水泥。散装水泥进入搅拌站及使用过程中采取的装卸、转运、储存及使用的设施和场所，应符合安全与环境保护的要求。</w:t>
                  </w:r>
                </w:p>
              </w:tc>
              <w:tc>
                <w:tcPr>
                  <w:tcW w:w="2024" w:type="pct"/>
                  <w:vAlign w:val="center"/>
                </w:tcPr>
                <w:p w14:paraId="622D749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本项目运营期采用罐车拉运散装水泥，不使用袋装水泥。水泥通过运输车与相应料筒管道封闭直连，以压缩空气吹入形式进入相应储料罐，然后采取封闭螺旋输送机进行计量给料。</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符合安全与环境保护的要求。</w:t>
                  </w:r>
                </w:p>
              </w:tc>
              <w:tc>
                <w:tcPr>
                  <w:tcW w:w="493" w:type="pct"/>
                  <w:vAlign w:val="center"/>
                </w:tcPr>
                <w:p w14:paraId="15F1DA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5D703A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6D643D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68F8CD6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3.0.5预拌混凝土、预拌砂浆产品质量应符合国家和四川省现行有关标准的规定。</w:t>
                  </w:r>
                </w:p>
              </w:tc>
              <w:tc>
                <w:tcPr>
                  <w:tcW w:w="2024" w:type="pct"/>
                  <w:vAlign w:val="center"/>
                </w:tcPr>
                <w:p w14:paraId="3D013C8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本项目生产混凝土满足《预拌混凝土》（GB/T14902-2012）质量标准要求。</w:t>
                  </w:r>
                </w:p>
              </w:tc>
              <w:tc>
                <w:tcPr>
                  <w:tcW w:w="493" w:type="pct"/>
                  <w:vAlign w:val="center"/>
                </w:tcPr>
                <w:p w14:paraId="0020C2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52FF74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58FB0F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64E25C2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3.0.6搅拌站的水、电、气等计量装置应齐全，且能符合生产区分级计量、生活区单独计量和运行正常的要求。在有条件的地区，应尽可能使用清洁能源。</w:t>
                  </w:r>
                </w:p>
              </w:tc>
              <w:tc>
                <w:tcPr>
                  <w:tcW w:w="2024" w:type="pct"/>
                  <w:vAlign w:val="center"/>
                </w:tcPr>
                <w:p w14:paraId="340544E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本项目场站内</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水、电、气等计量装置应齐全，且能符合生产区分级计量、生活区单独计量和运行正常的要求。</w:t>
                  </w:r>
                </w:p>
              </w:tc>
              <w:tc>
                <w:tcPr>
                  <w:tcW w:w="493" w:type="pct"/>
                  <w:vAlign w:val="center"/>
                </w:tcPr>
                <w:p w14:paraId="21CE9F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448D89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restart"/>
                  <w:vAlign w:val="center"/>
                </w:tcPr>
                <w:p w14:paraId="44F921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4站区布局与设备设施</w:t>
                  </w:r>
                </w:p>
              </w:tc>
              <w:tc>
                <w:tcPr>
                  <w:tcW w:w="2162" w:type="pct"/>
                  <w:vAlign w:val="center"/>
                </w:tcPr>
                <w:p w14:paraId="72F69C9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4.1.1</w:t>
                  </w:r>
                  <w:r>
                    <w:rPr>
                      <w:rFonts w:ascii="Times New Roman" w:hAnsi="Times New Roman" w:eastAsia="宋体"/>
                      <w:color w:val="000000" w:themeColor="text1"/>
                      <w:szCs w:val="21"/>
                      <w:highlight w:val="none"/>
                      <w14:textFill>
                        <w14:solidFill>
                          <w14:schemeClr w14:val="tx1"/>
                        </w14:solidFill>
                      </w14:textFill>
                    </w:rPr>
                    <w:t>搅拌站的布局建设不应在风景名胜区、生态保护区、自然和文化遗产保护区、饮用水源保护区、城市建成区或非工业规划区内，不应破坏所在地区的自然风貌和生态环境。</w:t>
                  </w:r>
                </w:p>
              </w:tc>
              <w:tc>
                <w:tcPr>
                  <w:tcW w:w="2024" w:type="pct"/>
                  <w:vAlign w:val="center"/>
                </w:tcPr>
                <w:p w14:paraId="3F91521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项目位于</w:t>
                  </w:r>
                  <w:r>
                    <w:rPr>
                      <w:rFonts w:hint="eastAsia" w:ascii="Times New Roman" w:hAnsi="Times New Roman" w:eastAsia="宋体"/>
                      <w:color w:val="000000" w:themeColor="text1"/>
                      <w:szCs w:val="21"/>
                      <w:highlight w:val="none"/>
                      <w14:textFill>
                        <w14:solidFill>
                          <w14:schemeClr w14:val="tx1"/>
                        </w14:solidFill>
                      </w14:textFill>
                    </w:rPr>
                    <w:t>蓬溪县大石镇偏马村一社</w:t>
                  </w:r>
                  <w:r>
                    <w:rPr>
                      <w:rFonts w:ascii="Times New Roman" w:hAnsi="Times New Roman" w:eastAsia="宋体"/>
                      <w:color w:val="000000" w:themeColor="text1"/>
                      <w:szCs w:val="21"/>
                      <w:highlight w:val="none"/>
                      <w14:textFill>
                        <w14:solidFill>
                          <w14:schemeClr w14:val="tx1"/>
                        </w14:solidFill>
                      </w14:textFill>
                    </w:rPr>
                    <w:t>，不属于风景名胜区、生态保护区、自然和文化遗产保护区、饮用水源保护区；</w:t>
                  </w:r>
                  <w:r>
                    <w:rPr>
                      <w:rFonts w:hint="eastAsia" w:ascii="Times New Roman" w:hAnsi="Times New Roman" w:eastAsia="宋体"/>
                      <w:color w:val="000000" w:themeColor="text1"/>
                      <w:szCs w:val="21"/>
                      <w:highlight w:val="none"/>
                      <w14:textFill>
                        <w14:solidFill>
                          <w14:schemeClr w14:val="tx1"/>
                        </w14:solidFill>
                      </w14:textFill>
                    </w:rPr>
                    <w:t>项目</w:t>
                  </w:r>
                  <w:r>
                    <w:rPr>
                      <w:rFonts w:hint="eastAsia" w:ascii="Times New Roman" w:hAnsi="Times New Roman" w:eastAsia="宋体"/>
                      <w:color w:val="000000" w:themeColor="text1"/>
                      <w:szCs w:val="21"/>
                      <w:highlight w:val="none"/>
                      <w:lang w:eastAsia="zh-CN"/>
                      <w14:textFill>
                        <w14:solidFill>
                          <w14:schemeClr w14:val="tx1"/>
                        </w14:solidFill>
                      </w14:textFill>
                    </w:rPr>
                    <w:t>用地符合当地土地利用规划，</w:t>
                  </w:r>
                  <w:r>
                    <w:rPr>
                      <w:rFonts w:hint="eastAsia" w:ascii="Times New Roman" w:hAnsi="Times New Roman" w:eastAsia="宋体"/>
                      <w:color w:val="000000" w:themeColor="text1"/>
                      <w:szCs w:val="21"/>
                      <w:highlight w:val="none"/>
                      <w14:textFill>
                        <w14:solidFill>
                          <w14:schemeClr w14:val="tx1"/>
                        </w14:solidFill>
                      </w14:textFill>
                    </w:rPr>
                    <w:t>且本项目属于临时工程，待项目服务期满后</w:t>
                  </w:r>
                  <w:r>
                    <w:rPr>
                      <w:rFonts w:hint="eastAsia" w:ascii="Times New Roman" w:hAnsi="Times New Roman" w:eastAsia="宋体"/>
                      <w:color w:val="000000" w:themeColor="text1"/>
                      <w:szCs w:val="21"/>
                      <w:highlight w:val="none"/>
                      <w:lang w:eastAsia="zh-CN"/>
                      <w14:textFill>
                        <w14:solidFill>
                          <w14:schemeClr w14:val="tx1"/>
                        </w14:solidFill>
                      </w14:textFill>
                    </w:rPr>
                    <w:t>对临时用地</w:t>
                  </w:r>
                  <w:r>
                    <w:rPr>
                      <w:rFonts w:hint="eastAsia" w:ascii="Times New Roman" w:hAnsi="Times New Roman" w:eastAsia="宋体"/>
                      <w:color w:val="000000" w:themeColor="text1"/>
                      <w:szCs w:val="21"/>
                      <w:highlight w:val="none"/>
                      <w14:textFill>
                        <w14:solidFill>
                          <w14:schemeClr w14:val="tx1"/>
                        </w14:solidFill>
                      </w14:textFill>
                    </w:rPr>
                    <w:t>进行迹地恢复，</w:t>
                  </w:r>
                  <w:r>
                    <w:rPr>
                      <w:rFonts w:ascii="Times New Roman" w:hAnsi="Times New Roman" w:eastAsia="宋体"/>
                      <w:color w:val="000000" w:themeColor="text1"/>
                      <w:szCs w:val="21"/>
                      <w:highlight w:val="none"/>
                      <w14:textFill>
                        <w14:solidFill>
                          <w14:schemeClr w14:val="tx1"/>
                        </w14:solidFill>
                      </w14:textFill>
                    </w:rPr>
                    <w:t>不</w:t>
                  </w:r>
                  <w:r>
                    <w:rPr>
                      <w:rFonts w:hint="eastAsia" w:ascii="Times New Roman" w:hAnsi="Times New Roman" w:eastAsia="宋体"/>
                      <w:color w:val="000000" w:themeColor="text1"/>
                      <w:szCs w:val="21"/>
                      <w:highlight w:val="none"/>
                      <w14:textFill>
                        <w14:solidFill>
                          <w14:schemeClr w14:val="tx1"/>
                        </w14:solidFill>
                      </w14:textFill>
                    </w:rPr>
                    <w:t>会</w:t>
                  </w:r>
                  <w:r>
                    <w:rPr>
                      <w:rFonts w:ascii="Times New Roman" w:hAnsi="Times New Roman" w:eastAsia="宋体"/>
                      <w:color w:val="000000" w:themeColor="text1"/>
                      <w:szCs w:val="21"/>
                      <w:highlight w:val="none"/>
                      <w14:textFill>
                        <w14:solidFill>
                          <w14:schemeClr w14:val="tx1"/>
                        </w14:solidFill>
                      </w14:textFill>
                    </w:rPr>
                    <w:t>破坏所在地区的自然风貌和生态环境。</w:t>
                  </w:r>
                </w:p>
              </w:tc>
              <w:tc>
                <w:tcPr>
                  <w:tcW w:w="493" w:type="pct"/>
                  <w:vAlign w:val="center"/>
                </w:tcPr>
                <w:p w14:paraId="3428B6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313218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1338B7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1D0A0F0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4.1.2搅拌站的站区面积应与搅拌站的生产规划产能相适应。站区内的生产、办公、生活及其他必要的设施应布局合理，功能分区明确，易于运营管理。</w:t>
                  </w:r>
                </w:p>
              </w:tc>
              <w:tc>
                <w:tcPr>
                  <w:tcW w:w="2024" w:type="pct"/>
                  <w:vAlign w:val="center"/>
                </w:tcPr>
                <w:p w14:paraId="034E865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本项目场站内</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生产、办公、生活分区设置</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拌和区内设置办公区及实验室进行生产调度及产品检验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布局合理，功能分区明确，易于运营管理。</w:t>
                  </w:r>
                </w:p>
              </w:tc>
              <w:tc>
                <w:tcPr>
                  <w:tcW w:w="493" w:type="pct"/>
                  <w:vAlign w:val="center"/>
                </w:tcPr>
                <w:p w14:paraId="6108078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2F54F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1B882D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63D6BAE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4.1.3站区中的给排水系统、供电供气系统及道路系统布局，应与周边已有的排水系统、供电供气系统及道路系统要严格区分并形成有效的衔接，避免废水混淆外排。</w:t>
                  </w:r>
                </w:p>
              </w:tc>
              <w:tc>
                <w:tcPr>
                  <w:tcW w:w="2024" w:type="pct"/>
                  <w:vAlign w:val="center"/>
                </w:tcPr>
                <w:p w14:paraId="3C7287F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拌和区及料仓周边设置废水收集沟，连通至</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五级</w:t>
                  </w:r>
                  <w:r>
                    <w:rPr>
                      <w:rFonts w:hint="default" w:ascii="Times New Roman" w:hAnsi="Times New Roman" w:eastAsia="宋体" w:cs="Times New Roman"/>
                      <w:color w:val="000000" w:themeColor="text1"/>
                      <w:sz w:val="21"/>
                      <w:szCs w:val="21"/>
                      <w:highlight w:val="none"/>
                      <w14:textFill>
                        <w14:solidFill>
                          <w14:schemeClr w14:val="tx1"/>
                        </w14:solidFill>
                      </w14:textFill>
                    </w:rPr>
                    <w:t>沉淀池</w:t>
                  </w:r>
                  <w:r>
                    <w:rPr>
                      <w:rFonts w:hint="eastAsia" w:ascii="Times New Roman" w:hAnsi="Times New Roman" w:eastAsia="宋体" w:cs="Times New Roman"/>
                      <w:strike w:val="0"/>
                      <w:dstrike w:val="0"/>
                      <w:color w:val="000000" w:themeColor="text1"/>
                      <w:sz w:val="21"/>
                      <w:szCs w:val="21"/>
                      <w:highlight w:val="none"/>
                      <w:lang w:eastAsia="zh-CN"/>
                      <w14:textFill>
                        <w14:solidFill>
                          <w14:schemeClr w14:val="tx1"/>
                        </w14:solidFill>
                      </w14:textFill>
                    </w:rPr>
                    <w:t>；道路及场站边界设置雨水收集沟连通至</w:t>
                  </w:r>
                  <w:r>
                    <w:rPr>
                      <w:rFonts w:hint="default" w:ascii="Times New Roman" w:hAnsi="Times New Roman" w:eastAsia="宋体" w:cs="Times New Roman"/>
                      <w:strike w:val="0"/>
                      <w:dstrike w:val="0"/>
                      <w:color w:val="000000" w:themeColor="text1"/>
                      <w:sz w:val="21"/>
                      <w:szCs w:val="21"/>
                      <w:highlight w:val="none"/>
                      <w:lang w:val="en-US" w:eastAsia="zh-CN"/>
                      <w14:textFill>
                        <w14:solidFill>
                          <w14:schemeClr w14:val="tx1"/>
                        </w14:solidFill>
                      </w14:textFill>
                    </w:rPr>
                    <w:t>雨水收集池</w:t>
                  </w:r>
                  <w:r>
                    <w:rPr>
                      <w:rFonts w:hint="eastAsia" w:ascii="Times New Roman" w:hAnsi="Times New Roman" w:eastAsia="宋体" w:cs="Times New Roman"/>
                      <w:strike w:val="0"/>
                      <w:color w:val="000000" w:themeColor="text1"/>
                      <w:sz w:val="21"/>
                      <w:szCs w:val="21"/>
                      <w:highlight w:val="none"/>
                      <w:lang w:val="en-US" w:eastAsia="zh-CN"/>
                      <w14:textFill>
                        <w14:solidFill>
                          <w14:schemeClr w14:val="tx1"/>
                        </w14:solidFill>
                      </w14:textFill>
                    </w:rPr>
                    <w:t>；进出口设置</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，能对厂区生产废水、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初期雨水、</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车辆冲洗废水进行有效沉淀和回用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，厂区废水不外排。</w:t>
                  </w:r>
                </w:p>
              </w:tc>
              <w:tc>
                <w:tcPr>
                  <w:tcW w:w="493" w:type="pct"/>
                  <w:vAlign w:val="center"/>
                </w:tcPr>
                <w:p w14:paraId="7E8321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FDDEE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56FA24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7B9F284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4.2.2生产区应布置在当地常年主导风向的下风侧，办公及生活区应布置在当地常年主导风向的上风侧。站区周边应采用造型与整体环境相协调的围护结构进行封闭维护。</w:t>
                  </w:r>
                </w:p>
              </w:tc>
              <w:tc>
                <w:tcPr>
                  <w:tcW w:w="2024" w:type="pct"/>
                  <w:vAlign w:val="center"/>
                </w:tcPr>
                <w:p w14:paraId="63B5591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本项目位于蓬溪县，常年主导风向为东北风，场站生产区集中设置与东南侧，属于主导风向下风向，</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本项目拌和站（含</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、筒仓、传送装置等）</w:t>
                  </w:r>
                  <w:r>
                    <w:rPr>
                      <w:rFonts w:hint="default" w:ascii="Times New Roman" w:hAnsi="Times New Roman" w:eastAsia="宋体" w:cs="Times New Roman"/>
                      <w:color w:val="000000" w:themeColor="text1"/>
                      <w:sz w:val="21"/>
                      <w:szCs w:val="21"/>
                      <w:highlight w:val="none"/>
                      <w14:textFill>
                        <w14:solidFill>
                          <w14:schemeClr w14:val="tx1"/>
                        </w14:solidFill>
                      </w14:textFill>
                    </w:rPr>
                    <w:t>采用整体封闭结构</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493" w:type="pct"/>
                  <w:vAlign w:val="center"/>
                </w:tcPr>
                <w:p w14:paraId="24369F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7C31AA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1C54EB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592528B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4.2.5</w:t>
                  </w:r>
                  <w:r>
                    <w:rPr>
                      <w:rFonts w:ascii="Times New Roman" w:hAnsi="Times New Roman" w:eastAsia="宋体"/>
                      <w:color w:val="000000" w:themeColor="text1"/>
                      <w:szCs w:val="21"/>
                      <w:highlight w:val="none"/>
                      <w14:textFill>
                        <w14:solidFill>
                          <w14:schemeClr w14:val="tx1"/>
                        </w14:solidFill>
                      </w14:textFill>
                    </w:rPr>
                    <w:t>站区道路及生产作业区地面应采用不起尘的混凝</w:t>
                  </w:r>
                  <w:r>
                    <w:rPr>
                      <w:rFonts w:hint="eastAsia" w:ascii="Times New Roman" w:hAnsi="Times New Roman" w:eastAsia="宋体"/>
                      <w:color w:val="000000" w:themeColor="text1"/>
                      <w:szCs w:val="21"/>
                      <w:highlight w:val="none"/>
                      <w:lang w:val="en-US" w:eastAsia="zh-CN"/>
                      <w14:textFill>
                        <w14:solidFill>
                          <w14:schemeClr w14:val="tx1"/>
                        </w14:solidFill>
                      </w14:textFill>
                    </w:rPr>
                    <w:t>土</w:t>
                  </w:r>
                  <w:r>
                    <w:rPr>
                      <w:rFonts w:ascii="Times New Roman" w:hAnsi="Times New Roman" w:eastAsia="宋体"/>
                      <w:color w:val="000000" w:themeColor="text1"/>
                      <w:szCs w:val="21"/>
                      <w:highlight w:val="none"/>
                      <w14:textFill>
                        <w14:solidFill>
                          <w14:schemeClr w14:val="tx1"/>
                        </w14:solidFill>
                      </w14:textFill>
                    </w:rPr>
                    <w:t>或沥青混凝土等硬质地面。生产作业区须采取有效措施保持场地整洁无扬尘，并应对未硬化处理的空地进行绿化。</w:t>
                  </w:r>
                </w:p>
              </w:tc>
              <w:tc>
                <w:tcPr>
                  <w:tcW w:w="2024" w:type="pct"/>
                  <w:vAlign w:val="center"/>
                </w:tcPr>
                <w:p w14:paraId="5CA0740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w:t>
                  </w:r>
                  <w:r>
                    <w:rPr>
                      <w:rFonts w:hint="eastAsia" w:ascii="Times New Roman" w:hAnsi="Times New Roman" w:eastAsia="宋体"/>
                      <w:color w:val="000000" w:themeColor="text1"/>
                      <w:szCs w:val="21"/>
                      <w:highlight w:val="none"/>
                      <w14:textFill>
                        <w14:solidFill>
                          <w14:schemeClr w14:val="tx1"/>
                        </w14:solidFill>
                      </w14:textFill>
                    </w:rPr>
                    <w:t>项目</w:t>
                  </w:r>
                  <w:r>
                    <w:rPr>
                      <w:rFonts w:ascii="Times New Roman" w:hAnsi="Times New Roman" w:eastAsia="宋体"/>
                      <w:color w:val="000000" w:themeColor="text1"/>
                      <w:szCs w:val="21"/>
                      <w:highlight w:val="none"/>
                      <w14:textFill>
                        <w14:solidFill>
                          <w14:schemeClr w14:val="tx1"/>
                        </w14:solidFill>
                      </w14:textFill>
                    </w:rPr>
                    <w:t>道路及生产作业区</w:t>
                  </w:r>
                  <w:r>
                    <w:rPr>
                      <w:rFonts w:hint="eastAsia" w:ascii="Times New Roman" w:hAnsi="Times New Roman" w:eastAsia="宋体"/>
                      <w:color w:val="000000" w:themeColor="text1"/>
                      <w:szCs w:val="21"/>
                      <w:highlight w:val="none"/>
                      <w14:textFill>
                        <w14:solidFill>
                          <w14:schemeClr w14:val="tx1"/>
                        </w14:solidFill>
                      </w14:textFill>
                    </w:rPr>
                    <w:t>地面</w:t>
                  </w:r>
                  <w:r>
                    <w:rPr>
                      <w:rFonts w:hint="eastAsia" w:ascii="Times New Roman" w:hAnsi="Times New Roman" w:eastAsia="宋体"/>
                      <w:color w:val="000000" w:themeColor="text1"/>
                      <w:szCs w:val="21"/>
                      <w:highlight w:val="none"/>
                      <w:lang w:eastAsia="zh-CN"/>
                      <w14:textFill>
                        <w14:solidFill>
                          <w14:schemeClr w14:val="tx1"/>
                        </w14:solidFill>
                      </w14:textFill>
                    </w:rPr>
                    <w:t>全部</w:t>
                  </w:r>
                  <w:r>
                    <w:rPr>
                      <w:rFonts w:hint="eastAsia" w:ascii="Times New Roman" w:hAnsi="Times New Roman" w:eastAsia="宋体"/>
                      <w:color w:val="000000" w:themeColor="text1"/>
                      <w:szCs w:val="21"/>
                      <w:highlight w:val="none"/>
                      <w14:textFill>
                        <w14:solidFill>
                          <w14:schemeClr w14:val="tx1"/>
                        </w14:solidFill>
                      </w14:textFill>
                    </w:rPr>
                    <w:t>进行硬化，并定期进行清扫、洒水降尘等，</w:t>
                  </w:r>
                  <w:r>
                    <w:rPr>
                      <w:rFonts w:ascii="Times New Roman" w:hAnsi="Times New Roman" w:eastAsia="宋体"/>
                      <w:color w:val="000000" w:themeColor="text1"/>
                      <w:szCs w:val="21"/>
                      <w:highlight w:val="none"/>
                      <w14:textFill>
                        <w14:solidFill>
                          <w14:schemeClr w14:val="tx1"/>
                        </w14:solidFill>
                      </w14:textFill>
                    </w:rPr>
                    <w:t>对未硬化处理的空地进行绿化。</w:t>
                  </w:r>
                </w:p>
              </w:tc>
              <w:tc>
                <w:tcPr>
                  <w:tcW w:w="493" w:type="pct"/>
                  <w:vAlign w:val="center"/>
                </w:tcPr>
                <w:p w14:paraId="333A3B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5B096C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214276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5692DD4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4.2.7</w:t>
                  </w:r>
                  <w:r>
                    <w:rPr>
                      <w:rFonts w:ascii="Times New Roman" w:hAnsi="Times New Roman" w:eastAsia="宋体"/>
                      <w:color w:val="000000" w:themeColor="text1"/>
                      <w:szCs w:val="21"/>
                      <w:highlight w:val="none"/>
                      <w14:textFill>
                        <w14:solidFill>
                          <w14:schemeClr w14:val="tx1"/>
                        </w14:solidFill>
                      </w14:textFill>
                    </w:rPr>
                    <w:t>站区内应根据搅拌站所在地区年平均降雨量设置适宜容积的雨水收集池，雨水经沉淀、净化后可根据实际需要再利用。同时应具备强降雨时能顺畅排洪及不致产生滑坡等自然灾害的能力。</w:t>
                  </w:r>
                </w:p>
              </w:tc>
              <w:tc>
                <w:tcPr>
                  <w:tcW w:w="2024" w:type="pct"/>
                  <w:vAlign w:val="center"/>
                </w:tcPr>
                <w:p w14:paraId="2343354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本项目设置雨水收集池，雨水经雨水收集池</w:t>
                  </w:r>
                  <w:r>
                    <w:rPr>
                      <w:rFonts w:hint="eastAsia" w:ascii="Times New Roman" w:hAnsi="Times New Roman" w:eastAsia="宋体"/>
                      <w:color w:val="000000" w:themeColor="text1"/>
                      <w:szCs w:val="21"/>
                      <w:highlight w:val="none"/>
                      <w:lang w:eastAsia="zh-CN"/>
                      <w14:textFill>
                        <w14:solidFill>
                          <w14:schemeClr w14:val="tx1"/>
                        </w14:solidFill>
                      </w14:textFill>
                    </w:rPr>
                    <w:t>处理</w:t>
                  </w:r>
                  <w:r>
                    <w:rPr>
                      <w:rFonts w:hint="eastAsia" w:ascii="Times New Roman" w:hAnsi="Times New Roman" w:eastAsia="宋体"/>
                      <w:color w:val="000000" w:themeColor="text1"/>
                      <w:szCs w:val="21"/>
                      <w:highlight w:val="none"/>
                      <w14:textFill>
                        <w14:solidFill>
                          <w14:schemeClr w14:val="tx1"/>
                        </w14:solidFill>
                      </w14:textFill>
                    </w:rPr>
                    <w:t>后回用于</w:t>
                  </w:r>
                  <w:r>
                    <w:rPr>
                      <w:rFonts w:hint="eastAsia" w:ascii="Times New Roman" w:hAnsi="Times New Roman" w:eastAsia="宋体"/>
                      <w:color w:val="000000" w:themeColor="text1"/>
                      <w:szCs w:val="21"/>
                      <w:highlight w:val="none"/>
                      <w:lang w:eastAsia="zh-CN"/>
                      <w14:textFill>
                        <w14:solidFill>
                          <w14:schemeClr w14:val="tx1"/>
                        </w14:solidFill>
                      </w14:textFill>
                    </w:rPr>
                    <w:t>清洁用水及</w:t>
                  </w:r>
                  <w:r>
                    <w:rPr>
                      <w:rFonts w:hint="eastAsia" w:ascii="Times New Roman" w:hAnsi="Times New Roman" w:eastAsia="宋体"/>
                      <w:color w:val="000000" w:themeColor="text1"/>
                      <w:szCs w:val="21"/>
                      <w:highlight w:val="none"/>
                      <w14:textFill>
                        <w14:solidFill>
                          <w14:schemeClr w14:val="tx1"/>
                        </w14:solidFill>
                      </w14:textFill>
                    </w:rPr>
                    <w:t>洒水降尘等</w:t>
                  </w:r>
                  <w:r>
                    <w:rPr>
                      <w:rFonts w:ascii="Times New Roman" w:hAnsi="Times New Roman" w:eastAsia="宋体"/>
                      <w:color w:val="000000" w:themeColor="text1"/>
                      <w:szCs w:val="21"/>
                      <w:highlight w:val="none"/>
                      <w14:textFill>
                        <w14:solidFill>
                          <w14:schemeClr w14:val="tx1"/>
                        </w14:solidFill>
                      </w14:textFill>
                    </w:rPr>
                    <w:t>。</w:t>
                  </w:r>
                </w:p>
              </w:tc>
              <w:tc>
                <w:tcPr>
                  <w:tcW w:w="493" w:type="pct"/>
                  <w:vAlign w:val="center"/>
                </w:tcPr>
                <w:p w14:paraId="29E4EA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0D5C9C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3B0325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6F9439C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4.3.2搅拌主机、粉料简仓应及时清理卸料口的混凝土、简仓粉料的结积块和砂浆废料等，确保地面清洁。并应配备保持完好的除尘、降噪设施。除尘、降噪设施中的滤芯等易损装置应定期保养或更换。</w:t>
                  </w:r>
                </w:p>
              </w:tc>
              <w:tc>
                <w:tcPr>
                  <w:tcW w:w="2024" w:type="pct"/>
                  <w:vAlign w:val="center"/>
                </w:tcPr>
                <w:p w14:paraId="7ED5F73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本项目运营期将加强管理，定期</w:t>
                  </w:r>
                  <w:r>
                    <w:rPr>
                      <w:rFonts w:hint="eastAsia" w:ascii="Times New Roman" w:hAnsi="Times New Roman" w:eastAsia="宋体"/>
                      <w:color w:val="000000" w:themeColor="text1"/>
                      <w:szCs w:val="21"/>
                      <w:highlight w:val="none"/>
                      <w:lang w:val="en-US" w:eastAsia="zh-CN"/>
                      <w14:textFill>
                        <w14:solidFill>
                          <w14:schemeClr w14:val="tx1"/>
                        </w14:solidFill>
                      </w14:textFill>
                    </w:rPr>
                    <w:t>清理卸料口的混凝土、简仓粉料的结积块和砂浆废料等，确保地面清洁。保障除尘、降噪设施完好正常运营，定期保养或更换除尘、降噪设施中的滤芯等易损装置。</w:t>
                  </w:r>
                </w:p>
              </w:tc>
              <w:tc>
                <w:tcPr>
                  <w:tcW w:w="493" w:type="pct"/>
                  <w:vAlign w:val="center"/>
                </w:tcPr>
                <w:p w14:paraId="3C7C22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2F7A12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6AE0A9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5929BF8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4.3.4储存砂石的地面应为硬质地面，宜建有积水池及回收利用管道，并确保排水通畅。混凝土用砂石堆场宜安装喷雾除尘设备，砂浆用砂石堆场宜设防尘设施。</w:t>
                  </w:r>
                </w:p>
              </w:tc>
              <w:tc>
                <w:tcPr>
                  <w:tcW w:w="2024" w:type="pct"/>
                  <w:vAlign w:val="center"/>
                </w:tcPr>
                <w:p w14:paraId="690E1EA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本项目砂石料仓地面全硬化，边界建排水沟连通至污水沉淀池，沉淀后回用；砂石料仓均内安装喷雾降尘装置。</w:t>
                  </w:r>
                </w:p>
              </w:tc>
              <w:tc>
                <w:tcPr>
                  <w:tcW w:w="493" w:type="pct"/>
                  <w:vAlign w:val="center"/>
                </w:tcPr>
                <w:p w14:paraId="151A58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067384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restart"/>
                  <w:vAlign w:val="center"/>
                </w:tcPr>
                <w:p w14:paraId="6B8793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5环境建设与质量监控</w:t>
                  </w:r>
                </w:p>
              </w:tc>
              <w:tc>
                <w:tcPr>
                  <w:tcW w:w="2162" w:type="pct"/>
                  <w:vAlign w:val="center"/>
                </w:tcPr>
                <w:p w14:paraId="7331044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5.1.7</w:t>
                  </w:r>
                  <w:r>
                    <w:rPr>
                      <w:rFonts w:ascii="Times New Roman" w:hAnsi="Times New Roman" w:eastAsia="宋体"/>
                      <w:color w:val="000000" w:themeColor="text1"/>
                      <w:szCs w:val="21"/>
                      <w:highlight w:val="none"/>
                      <w14:textFill>
                        <w14:solidFill>
                          <w14:schemeClr w14:val="tx1"/>
                        </w14:solidFill>
                      </w14:textFill>
                    </w:rPr>
                    <w:t>对易产生噪音的机械设备及区域，应采取适宜、有效的降噪及隔声屏障措施。降噪及隔声屏障措施的设置应符合国家现行有关安全质量标准的规定。</w:t>
                  </w:r>
                </w:p>
              </w:tc>
              <w:tc>
                <w:tcPr>
                  <w:tcW w:w="2024" w:type="pct"/>
                  <w:vAlign w:val="center"/>
                </w:tcPr>
                <w:p w14:paraId="7EF1C5F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本项目主要噪声源为搅拌主机</w:t>
                  </w:r>
                  <w:r>
                    <w:rPr>
                      <w:rFonts w:hint="eastAsia" w:ascii="Times New Roman" w:hAnsi="Times New Roman" w:eastAsia="宋体"/>
                      <w:color w:val="000000" w:themeColor="text1"/>
                      <w:szCs w:val="21"/>
                      <w:highlight w:val="none"/>
                      <w:lang w:eastAsia="zh-CN"/>
                      <w14:textFill>
                        <w14:solidFill>
                          <w14:schemeClr w14:val="tx1"/>
                        </w14:solidFill>
                      </w14:textFill>
                    </w:rPr>
                    <w:t>等</w:t>
                  </w:r>
                  <w:r>
                    <w:rPr>
                      <w:rFonts w:hint="eastAsia" w:ascii="Times New Roman" w:hAnsi="Times New Roman" w:eastAsia="宋体"/>
                      <w:color w:val="000000" w:themeColor="text1"/>
                      <w:szCs w:val="21"/>
                      <w:highlight w:val="none"/>
                      <w14:textFill>
                        <w14:solidFill>
                          <w14:schemeClr w14:val="tx1"/>
                        </w14:solidFill>
                      </w14:textFill>
                    </w:rPr>
                    <w:t>等</w:t>
                  </w:r>
                  <w:r>
                    <w:rPr>
                      <w:rFonts w:ascii="Times New Roman" w:hAnsi="Times New Roman" w:eastAsia="宋体"/>
                      <w:color w:val="000000" w:themeColor="text1"/>
                      <w:szCs w:val="21"/>
                      <w:highlight w:val="none"/>
                      <w14:textFill>
                        <w14:solidFill>
                          <w14:schemeClr w14:val="tx1"/>
                        </w14:solidFill>
                      </w14:textFill>
                    </w:rPr>
                    <w:t>，设备采用选用低噪声、振动小的设备，设备基础安装减振器等措施处理后，</w:t>
                  </w:r>
                  <w:r>
                    <w:rPr>
                      <w:rFonts w:hint="eastAsia" w:ascii="Times New Roman" w:hAnsi="Times New Roman" w:eastAsia="宋体"/>
                      <w:color w:val="000000" w:themeColor="text1"/>
                      <w:szCs w:val="21"/>
                      <w:highlight w:val="none"/>
                      <w14:textFill>
                        <w14:solidFill>
                          <w14:schemeClr w14:val="tx1"/>
                        </w14:solidFill>
                      </w14:textFill>
                    </w:rPr>
                    <w:t>根据预测，</w:t>
                  </w:r>
                  <w:r>
                    <w:rPr>
                      <w:rFonts w:ascii="Times New Roman" w:hAnsi="Times New Roman" w:eastAsia="宋体"/>
                      <w:color w:val="000000" w:themeColor="text1"/>
                      <w:szCs w:val="21"/>
                      <w:highlight w:val="none"/>
                      <w14:textFill>
                        <w14:solidFill>
                          <w14:schemeClr w14:val="tx1"/>
                        </w14:solidFill>
                      </w14:textFill>
                    </w:rPr>
                    <w:t>厂界噪声源强符合《工业企业厂界环境噪声排放标准》（GB12348-2008）2类标准。</w:t>
                  </w:r>
                </w:p>
              </w:tc>
              <w:tc>
                <w:tcPr>
                  <w:tcW w:w="493" w:type="pct"/>
                  <w:vAlign w:val="center"/>
                </w:tcPr>
                <w:p w14:paraId="3EF37F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07DE79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31DB28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58C69F0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5.3.4</w:t>
                  </w:r>
                  <w:r>
                    <w:rPr>
                      <w:rFonts w:ascii="Times New Roman" w:hAnsi="Times New Roman" w:eastAsia="宋体"/>
                      <w:color w:val="000000" w:themeColor="text1"/>
                      <w:szCs w:val="21"/>
                      <w:highlight w:val="none"/>
                      <w14:textFill>
                        <w14:solidFill>
                          <w14:schemeClr w14:val="tx1"/>
                        </w14:solidFill>
                      </w14:textFill>
                    </w:rPr>
                    <w:t>对产生粉尘排放的设备、设施或场所，应进行封闭处理或安装除尘装置。除尘装置宜与粉尘监测装置相连，确保实时监测和粉尘超标时能及时采取相应措施。并应根据需要设置适宜的喷淋装置对砂石进行预湿处置。</w:t>
                  </w:r>
                </w:p>
              </w:tc>
              <w:tc>
                <w:tcPr>
                  <w:tcW w:w="2024" w:type="pct"/>
                  <w:vAlign w:val="center"/>
                </w:tcPr>
                <w:p w14:paraId="479121C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本项目搅拌机和筒仓均密闭且安装布袋除尘装置；</w:t>
                  </w:r>
                </w:p>
                <w:p w14:paraId="042C93C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本次环评要求建设单位落实例行监测计划，同时建议厂区内设置粉尘监测装置，实时监测厂区内粉尘；</w:t>
                  </w:r>
                </w:p>
                <w:p w14:paraId="7C462B4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本项目</w:t>
                  </w:r>
                  <w:r>
                    <w:rPr>
                      <w:rFonts w:hint="eastAsia" w:ascii="Times New Roman" w:hAnsi="Times New Roman" w:eastAsia="宋体"/>
                      <w:color w:val="000000" w:themeColor="text1"/>
                      <w:szCs w:val="21"/>
                      <w:highlight w:val="none"/>
                      <w14:textFill>
                        <w14:solidFill>
                          <w14:schemeClr w14:val="tx1"/>
                        </w14:solidFill>
                      </w14:textFill>
                    </w:rPr>
                    <w:t>在</w:t>
                  </w:r>
                  <w:r>
                    <w:rPr>
                      <w:rFonts w:hint="eastAsia" w:ascii="Times New Roman" w:hAnsi="Times New Roman" w:eastAsia="宋体"/>
                      <w:color w:val="000000" w:themeColor="text1"/>
                      <w:szCs w:val="21"/>
                      <w:highlight w:val="none"/>
                      <w:lang w:eastAsia="zh-CN"/>
                      <w14:textFill>
                        <w14:solidFill>
                          <w14:schemeClr w14:val="tx1"/>
                        </w14:solidFill>
                      </w14:textFill>
                    </w:rPr>
                    <w:t>砂石料仓、搅拌楼等</w:t>
                  </w:r>
                  <w:r>
                    <w:rPr>
                      <w:rFonts w:hint="eastAsia" w:ascii="Times New Roman" w:hAnsi="Times New Roman" w:eastAsia="宋体"/>
                      <w:color w:val="000000" w:themeColor="text1"/>
                      <w:szCs w:val="21"/>
                      <w:highlight w:val="none"/>
                      <w14:textFill>
                        <w14:solidFill>
                          <w14:schemeClr w14:val="tx1"/>
                        </w14:solidFill>
                      </w14:textFill>
                    </w:rPr>
                    <w:t>产尘节点均设置</w:t>
                  </w:r>
                  <w:r>
                    <w:rPr>
                      <w:rFonts w:ascii="Times New Roman" w:hAnsi="Times New Roman" w:eastAsia="宋体"/>
                      <w:color w:val="000000" w:themeColor="text1"/>
                      <w:szCs w:val="21"/>
                      <w:highlight w:val="none"/>
                      <w14:textFill>
                        <w14:solidFill>
                          <w14:schemeClr w14:val="tx1"/>
                        </w14:solidFill>
                      </w14:textFill>
                    </w:rPr>
                    <w:t>喷淋</w:t>
                  </w:r>
                  <w:r>
                    <w:rPr>
                      <w:rFonts w:hint="eastAsia" w:ascii="Times New Roman" w:hAnsi="Times New Roman" w:eastAsia="宋体"/>
                      <w:color w:val="000000" w:themeColor="text1"/>
                      <w:szCs w:val="21"/>
                      <w:highlight w:val="none"/>
                      <w14:textFill>
                        <w14:solidFill>
                          <w14:schemeClr w14:val="tx1"/>
                        </w14:solidFill>
                      </w14:textFill>
                    </w:rPr>
                    <w:t>装置</w:t>
                  </w:r>
                  <w:r>
                    <w:rPr>
                      <w:rFonts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14:textFill>
                        <w14:solidFill>
                          <w14:schemeClr w14:val="tx1"/>
                        </w14:solidFill>
                      </w14:textFill>
                    </w:rPr>
                    <w:t>湿法作业，</w:t>
                  </w:r>
                  <w:r>
                    <w:rPr>
                      <w:rFonts w:ascii="Times New Roman" w:hAnsi="Times New Roman" w:eastAsia="宋体"/>
                      <w:color w:val="000000" w:themeColor="text1"/>
                      <w:szCs w:val="21"/>
                      <w:highlight w:val="none"/>
                      <w14:textFill>
                        <w14:solidFill>
                          <w14:schemeClr w14:val="tx1"/>
                        </w14:solidFill>
                      </w14:textFill>
                    </w:rPr>
                    <w:t>减少粉尘</w:t>
                  </w:r>
                  <w:r>
                    <w:rPr>
                      <w:rFonts w:hint="eastAsia" w:ascii="Times New Roman" w:hAnsi="Times New Roman" w:eastAsia="宋体"/>
                      <w:color w:val="000000" w:themeColor="text1"/>
                      <w:szCs w:val="21"/>
                      <w:highlight w:val="none"/>
                      <w14:textFill>
                        <w14:solidFill>
                          <w14:schemeClr w14:val="tx1"/>
                        </w14:solidFill>
                      </w14:textFill>
                    </w:rPr>
                    <w:t>产生</w:t>
                  </w:r>
                  <w:r>
                    <w:rPr>
                      <w:rFonts w:ascii="Times New Roman" w:hAnsi="Times New Roman" w:eastAsia="宋体"/>
                      <w:color w:val="000000" w:themeColor="text1"/>
                      <w:szCs w:val="21"/>
                      <w:highlight w:val="none"/>
                      <w14:textFill>
                        <w14:solidFill>
                          <w14:schemeClr w14:val="tx1"/>
                        </w14:solidFill>
                      </w14:textFill>
                    </w:rPr>
                    <w:t>。</w:t>
                  </w:r>
                </w:p>
              </w:tc>
              <w:tc>
                <w:tcPr>
                  <w:tcW w:w="493" w:type="pct"/>
                  <w:vAlign w:val="center"/>
                </w:tcPr>
                <w:p w14:paraId="100089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57A7B1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52C1BC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4B22735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5.4.2</w:t>
                  </w:r>
                  <w:r>
                    <w:rPr>
                      <w:rFonts w:ascii="Times New Roman" w:hAnsi="Times New Roman" w:eastAsia="宋体"/>
                      <w:color w:val="000000" w:themeColor="text1"/>
                      <w:szCs w:val="21"/>
                      <w:highlight w:val="none"/>
                      <w14:textFill>
                        <w14:solidFill>
                          <w14:schemeClr w14:val="tx1"/>
                        </w14:solidFill>
                      </w14:textFill>
                    </w:rPr>
                    <w:t>搅拌站生产过程中产生的废水、废浆和残存的混凝土、砂浆、粉尘等可再生资源，应有相应的安置场地及有效的资源化利用技术措施与产品。未经处理的废水、废浆及残存的混凝土、砂浆等不得外排。</w:t>
                  </w:r>
                </w:p>
              </w:tc>
              <w:tc>
                <w:tcPr>
                  <w:tcW w:w="2024" w:type="pct"/>
                  <w:vAlign w:val="center"/>
                </w:tcPr>
                <w:p w14:paraId="67B5160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w:t>
                  </w:r>
                  <w:r>
                    <w:rPr>
                      <w:rFonts w:ascii="Times New Roman" w:hAnsi="Times New Roman" w:eastAsia="宋体"/>
                      <w:color w:val="000000" w:themeColor="text1"/>
                      <w:szCs w:val="21"/>
                      <w:highlight w:val="none"/>
                      <w14:textFill>
                        <w14:solidFill>
                          <w14:schemeClr w14:val="tx1"/>
                        </w14:solidFill>
                      </w14:textFill>
                    </w:rPr>
                    <w:t>项目废水经过沉淀池沉淀后回用于生产，粉尘经过项目布袋除尘器收集后回用于生产。</w:t>
                  </w:r>
                  <w:r>
                    <w:rPr>
                      <w:rFonts w:hint="eastAsia" w:ascii="Times New Roman" w:hAnsi="Times New Roman" w:eastAsia="宋体"/>
                      <w:color w:val="000000" w:themeColor="text1"/>
                      <w:szCs w:val="21"/>
                      <w:highlight w:val="none"/>
                      <w:lang w:eastAsia="zh-CN"/>
                      <w14:textFill>
                        <w14:solidFill>
                          <w14:schemeClr w14:val="tx1"/>
                        </w14:solidFill>
                      </w14:textFill>
                    </w:rPr>
                    <w:t>沉淀池</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p>
              </w:tc>
              <w:tc>
                <w:tcPr>
                  <w:tcW w:w="493" w:type="pct"/>
                  <w:vAlign w:val="center"/>
                </w:tcPr>
                <w:p w14:paraId="3ED680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bl>
          <w:p w14:paraId="4D77703A">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w:t>
            </w:r>
            <w:r>
              <w:rPr>
                <w:rFonts w:hint="eastAsia" w:eastAsia="宋体"/>
                <w:color w:val="000000" w:themeColor="text1"/>
                <w:kern w:val="2"/>
                <w:highlight w:val="none"/>
                <w14:textFill>
                  <w14:solidFill>
                    <w14:schemeClr w14:val="tx1"/>
                  </w14:solidFill>
                </w14:textFill>
              </w:rPr>
              <w:t>本项目建设符合《四川省绿色环保搅拌站建设、管理和评价标准》（DBJ51/T104-2018）要求。</w:t>
            </w:r>
          </w:p>
          <w:p w14:paraId="27B2802B">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eastAsia="宋体"/>
                <w:b/>
                <w:bCs/>
                <w:color w:val="000000" w:themeColor="text1"/>
                <w:kern w:val="2"/>
                <w:highlight w:val="none"/>
                <w:lang w:eastAsia="zh-CN"/>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七、与《自然资源部关于规范临时用地管理的通知》（自然资规〔2021〕 2 号）符合性分析</w:t>
            </w:r>
          </w:p>
          <w:p w14:paraId="7270617A">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根据《自然资源部关于规范临时用地管理的通知》（自然资规〔2021〕2号）的要求，其符合性分析如下：</w:t>
            </w:r>
          </w:p>
          <w:p w14:paraId="2141A666">
            <w:pPr>
              <w:pStyle w:val="41"/>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eastAsia="宋体"/>
                <w:b/>
                <w:bCs/>
                <w:color w:val="000000" w:themeColor="text1"/>
                <w:kern w:val="2"/>
                <w:sz w:val="21"/>
                <w:szCs w:val="21"/>
                <w:highlight w:val="none"/>
                <w:lang w:eastAsia="zh-CN"/>
                <w14:textFill>
                  <w14:solidFill>
                    <w14:schemeClr w14:val="tx1"/>
                  </w14:solidFill>
                </w14:textFill>
              </w:rPr>
            </w:pPr>
            <w:r>
              <w:rPr>
                <w:rFonts w:hint="eastAsia" w:eastAsia="宋体"/>
                <w:b/>
                <w:bCs/>
                <w:color w:val="000000" w:themeColor="text1"/>
                <w:kern w:val="2"/>
                <w:sz w:val="21"/>
                <w:szCs w:val="21"/>
                <w:highlight w:val="none"/>
                <w:lang w:eastAsia="zh-CN"/>
                <w14:textFill>
                  <w14:solidFill>
                    <w14:schemeClr w14:val="tx1"/>
                  </w14:solidFill>
                </w14:textFill>
              </w:rPr>
              <w:t>表</w:t>
            </w:r>
            <w:r>
              <w:rPr>
                <w:rFonts w:hint="eastAsia" w:eastAsia="宋体"/>
                <w:b/>
                <w:bCs/>
                <w:color w:val="000000" w:themeColor="text1"/>
                <w:kern w:val="2"/>
                <w:sz w:val="21"/>
                <w:szCs w:val="21"/>
                <w:highlight w:val="none"/>
                <w:lang w:val="en-US" w:eastAsia="zh-CN"/>
                <w14:textFill>
                  <w14:solidFill>
                    <w14:schemeClr w14:val="tx1"/>
                  </w14:solidFill>
                </w14:textFill>
              </w:rPr>
              <w:t xml:space="preserve">1-5    </w:t>
            </w:r>
            <w:r>
              <w:rPr>
                <w:rFonts w:hint="eastAsia" w:eastAsia="宋体"/>
                <w:b/>
                <w:bCs/>
                <w:color w:val="000000" w:themeColor="text1"/>
                <w:kern w:val="2"/>
                <w:sz w:val="21"/>
                <w:szCs w:val="21"/>
                <w:highlight w:val="none"/>
                <w:lang w:eastAsia="zh-CN"/>
                <w14:textFill>
                  <w14:solidFill>
                    <w14:schemeClr w14:val="tx1"/>
                  </w14:solidFill>
                </w14:textFill>
              </w:rPr>
              <w:t>与《自然资源部关于规范临时用地管理的通知》符合性分析</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99"/>
              <w:gridCol w:w="5251"/>
              <w:gridCol w:w="1350"/>
              <w:gridCol w:w="698"/>
            </w:tblGrid>
            <w:tr w14:paraId="6AB5CB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32CE0C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序号</w:t>
                  </w:r>
                </w:p>
              </w:tc>
              <w:tc>
                <w:tcPr>
                  <w:tcW w:w="3366" w:type="pct"/>
                  <w:vAlign w:val="center"/>
                </w:tcPr>
                <w:p w14:paraId="49B092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文件</w:t>
                  </w:r>
                  <w:r>
                    <w:rPr>
                      <w:rFonts w:ascii="Times New Roman" w:hAnsi="Times New Roman" w:eastAsia="宋体"/>
                      <w:b/>
                      <w:bCs/>
                      <w:color w:val="000000" w:themeColor="text1"/>
                      <w:szCs w:val="21"/>
                      <w:highlight w:val="none"/>
                      <w14:textFill>
                        <w14:solidFill>
                          <w14:schemeClr w14:val="tx1"/>
                        </w14:solidFill>
                      </w14:textFill>
                    </w:rPr>
                    <w:t>要求</w:t>
                  </w:r>
                </w:p>
              </w:tc>
              <w:tc>
                <w:tcPr>
                  <w:tcW w:w="865" w:type="pct"/>
                  <w:vAlign w:val="center"/>
                </w:tcPr>
                <w:p w14:paraId="1117F7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本项目</w:t>
                  </w:r>
                  <w:r>
                    <w:rPr>
                      <w:rFonts w:hint="eastAsia" w:ascii="Times New Roman" w:hAnsi="Times New Roman" w:eastAsia="宋体"/>
                      <w:b/>
                      <w:bCs/>
                      <w:color w:val="000000" w:themeColor="text1"/>
                      <w:szCs w:val="21"/>
                      <w:highlight w:val="none"/>
                      <w14:textFill>
                        <w14:solidFill>
                          <w14:schemeClr w14:val="tx1"/>
                        </w14:solidFill>
                      </w14:textFill>
                    </w:rPr>
                    <w:t>情况</w:t>
                  </w:r>
                </w:p>
              </w:tc>
              <w:tc>
                <w:tcPr>
                  <w:tcW w:w="447" w:type="pct"/>
                  <w:vAlign w:val="center"/>
                </w:tcPr>
                <w:p w14:paraId="7AB3CA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符合性</w:t>
                  </w:r>
                </w:p>
              </w:tc>
            </w:tr>
            <w:tr w14:paraId="2E546B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490057A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一、界定临时用地使用范围</w:t>
                  </w:r>
                </w:p>
              </w:tc>
              <w:tc>
                <w:tcPr>
                  <w:tcW w:w="3366" w:type="pct"/>
                  <w:vAlign w:val="center"/>
                </w:tcPr>
                <w:p w14:paraId="2C00D861">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临时用地的范围包括：</w:t>
                  </w:r>
                </w:p>
                <w:p w14:paraId="49CE102B">
                  <w:pPr>
                    <w:keepNext w:val="0"/>
                    <w:keepLines w:val="0"/>
                    <w:pageBreakBefore w:val="0"/>
                    <w:widowControl w:val="0"/>
                    <w:numPr>
                      <w:ilvl w:val="0"/>
                      <w:numId w:val="3"/>
                    </w:numPr>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建设项目施工过程中建设的直接服务于施工人员的临时办公和生活用房，包括临时办公用房、生活用房、工棚等使用的土地；直接服务于工程施工的项目自用辅助工程，包括农用地表土剥离堆放场、材料堆场、制梁场、拌合站、钢筋加工厂、施工便道、运输便道、地上线路架设、地下管线敷设作业，以及能源、交通、水利等基础设施项目的取土场、弃土（渣）场等使用的土地。</w:t>
                  </w:r>
                </w:p>
                <w:p w14:paraId="039B81C0">
                  <w:pPr>
                    <w:keepNext w:val="0"/>
                    <w:keepLines w:val="0"/>
                    <w:pageBreakBefore w:val="0"/>
                    <w:widowControl w:val="0"/>
                    <w:numPr>
                      <w:ilvl w:val="0"/>
                      <w:numId w:val="0"/>
                    </w:numPr>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二）矿产资源勘查、工程地质勘查、水文地质勘查等，在勘查期间临时生活用房、临时工棚、勘查作业及其辅助工程、施工便道、运输便道等使用的土地，包括油气资源勘查中钻井井场、配套管线、电力设施、进场道路等钻井及配套设施使用的土地。</w:t>
                  </w:r>
                </w:p>
                <w:p w14:paraId="1FBBEA25">
                  <w:pPr>
                    <w:keepNext w:val="0"/>
                    <w:keepLines w:val="0"/>
                    <w:pageBreakBefore w:val="0"/>
                    <w:widowControl w:val="0"/>
                    <w:numPr>
                      <w:ilvl w:val="0"/>
                      <w:numId w:val="0"/>
                    </w:numPr>
                    <w:kinsoku/>
                    <w:wordWrap/>
                    <w:overflowPunct/>
                    <w:topLinePunct w:val="0"/>
                    <w:autoSpaceDE/>
                    <w:autoSpaceDN/>
                    <w:bidi w:val="0"/>
                    <w:adjustRightInd w:val="0"/>
                    <w:snapToGrid w:val="0"/>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（三）符合法律、法规规定的其他需要临时使用的土地。</w:t>
                  </w:r>
                </w:p>
              </w:tc>
              <w:tc>
                <w:tcPr>
                  <w:tcW w:w="865" w:type="pct"/>
                  <w:vAlign w:val="center"/>
                </w:tcPr>
                <w:p w14:paraId="30E96209">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本项目属于“</w:t>
                  </w:r>
                  <w:r>
                    <w:rPr>
                      <w:rFonts w:hint="eastAsia" w:ascii="TimesNewRomanPSMT" w:hAnsi="TimesNewRomanPSMT" w:eastAsia="TimesNewRomanPSMT"/>
                      <w:color w:val="000000" w:themeColor="text1"/>
                      <w:sz w:val="21"/>
                      <w:szCs w:val="24"/>
                      <w:highlight w:val="none"/>
                      <w14:textFill>
                        <w14:solidFill>
                          <w14:schemeClr w14:val="tx1"/>
                        </w14:solidFill>
                      </w14:textFill>
                    </w:rPr>
                    <w:t>G42</w:t>
                  </w:r>
                  <w:r>
                    <w:rPr>
                      <w:rFonts w:hint="eastAsia" w:ascii="宋体" w:hAnsi="宋体" w:eastAsia="宋体"/>
                      <w:color w:val="000000" w:themeColor="text1"/>
                      <w:sz w:val="21"/>
                      <w:szCs w:val="24"/>
                      <w:highlight w:val="none"/>
                      <w14:textFill>
                        <w14:solidFill>
                          <w14:schemeClr w14:val="tx1"/>
                        </w14:solidFill>
                      </w14:textFill>
                    </w:rPr>
                    <w:t>线南充至成都段高速公路扩容工程”施工建设的配套临时拌合站</w:t>
                  </w:r>
                  <w:r>
                    <w:rPr>
                      <w:rFonts w:hint="eastAsia" w:ascii="宋体" w:hAnsi="宋体" w:eastAsia="宋体"/>
                      <w:color w:val="000000" w:themeColor="text1"/>
                      <w:sz w:val="21"/>
                      <w:szCs w:val="24"/>
                      <w:highlight w:val="none"/>
                      <w:lang w:val="en-US" w:eastAsia="zh-CN"/>
                      <w14:textFill>
                        <w14:solidFill>
                          <w14:schemeClr w14:val="tx1"/>
                        </w14:solidFill>
                      </w14:textFill>
                    </w:rPr>
                    <w:t>。</w:t>
                  </w:r>
                </w:p>
              </w:tc>
              <w:tc>
                <w:tcPr>
                  <w:tcW w:w="447" w:type="pct"/>
                  <w:vAlign w:val="center"/>
                </w:tcPr>
                <w:p w14:paraId="3A0A32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3A94D3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70C0040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二、临时用地选址要求和使用期限</w:t>
                  </w:r>
                </w:p>
              </w:tc>
              <w:tc>
                <w:tcPr>
                  <w:tcW w:w="3366" w:type="pct"/>
                  <w:vAlign w:val="center"/>
                </w:tcPr>
                <w:p w14:paraId="06E99EB2">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临时用地确需占用永久基本农田的，必须能够恢复原种植条件，并符合《自然资源部农业农村部关于加强和改进永久基本农田保护工作的通知》（自然资规〔</w:t>
                  </w:r>
                  <w:r>
                    <w:rPr>
                      <w:rFonts w:hint="eastAsia" w:ascii="TimesNewRomanPSMT" w:hAnsi="TimesNewRomanPSMT" w:eastAsia="TimesNewRomanPSMT"/>
                      <w:color w:val="000000" w:themeColor="text1"/>
                      <w:sz w:val="21"/>
                      <w:szCs w:val="24"/>
                      <w:highlight w:val="none"/>
                      <w14:textFill>
                        <w14:solidFill>
                          <w14:schemeClr w14:val="tx1"/>
                        </w14:solidFill>
                      </w14:textFill>
                    </w:rPr>
                    <w:t>2019</w:t>
                  </w:r>
                  <w:r>
                    <w:rPr>
                      <w:rFonts w:hint="eastAsia" w:ascii="宋体" w:hAnsi="宋体" w:eastAsia="宋体"/>
                      <w:color w:val="000000" w:themeColor="text1"/>
                      <w:sz w:val="21"/>
                      <w:szCs w:val="24"/>
                      <w:highlight w:val="none"/>
                      <w14:textFill>
                        <w14:solidFill>
                          <w14:schemeClr w14:val="tx1"/>
                        </w14:solidFill>
                      </w14:textFill>
                    </w:rPr>
                    <w:t>〕</w:t>
                  </w:r>
                  <w:r>
                    <w:rPr>
                      <w:rFonts w:hint="eastAsia" w:ascii="TimesNewRomanPSMT" w:hAnsi="TimesNewRomanPSMT" w:eastAsia="TimesNewRomanPSMT"/>
                      <w:color w:val="000000" w:themeColor="text1"/>
                      <w:sz w:val="21"/>
                      <w:szCs w:val="24"/>
                      <w:highlight w:val="none"/>
                      <w14:textFill>
                        <w14:solidFill>
                          <w14:schemeClr w14:val="tx1"/>
                        </w14:solidFill>
                      </w14:textFill>
                    </w:rPr>
                    <w:t>1</w:t>
                  </w:r>
                  <w:r>
                    <w:rPr>
                      <w:rFonts w:hint="eastAsia" w:ascii="宋体" w:hAnsi="宋体" w:eastAsia="宋体"/>
                      <w:color w:val="000000" w:themeColor="text1"/>
                      <w:sz w:val="21"/>
                      <w:szCs w:val="24"/>
                      <w:highlight w:val="none"/>
                      <w14:textFill>
                        <w14:solidFill>
                          <w14:schemeClr w14:val="tx1"/>
                        </w14:solidFill>
                      </w14:textFill>
                    </w:rPr>
                    <w:t>号）中申请条件、土壤剥离、复垦验收等有关规定。</w:t>
                  </w:r>
                </w:p>
                <w:p w14:paraId="755B8749">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使用期限一般不超过两年。建设周期较长的能源、交通、水利等基础设施建设项目施工使用的临时用地，期限不超过四年。城镇开发边界内临时建设用地规划许可、临时建设工程规划许可的期限应当与临时用地期限相衔接。临时用地使用期限，从批准之日起算。</w:t>
                  </w:r>
                </w:p>
              </w:tc>
              <w:tc>
                <w:tcPr>
                  <w:tcW w:w="865" w:type="pct"/>
                  <w:vAlign w:val="center"/>
                </w:tcPr>
                <w:p w14:paraId="1B97D97D">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不涉及占用耕地和永久</w:t>
                  </w:r>
                  <w:r>
                    <w:rPr>
                      <w:rFonts w:hint="eastAsia" w:ascii="宋体" w:hAnsi="宋体" w:eastAsia="宋体"/>
                      <w:color w:val="000000" w:themeColor="text1"/>
                      <w:sz w:val="21"/>
                      <w:szCs w:val="24"/>
                      <w:highlight w:val="none"/>
                      <w14:textFill>
                        <w14:solidFill>
                          <w14:schemeClr w14:val="tx1"/>
                        </w14:solidFill>
                      </w14:textFill>
                    </w:rPr>
                    <w:t>基本农田。</w:t>
                  </w:r>
                  <w:r>
                    <w:rPr>
                      <w:rFonts w:hint="eastAsia" w:ascii="宋体" w:hAnsi="宋体" w:eastAsia="宋体"/>
                      <w:color w:val="000000" w:themeColor="text1"/>
                      <w:sz w:val="21"/>
                      <w:szCs w:val="24"/>
                      <w:highlight w:val="none"/>
                      <w:lang w:eastAsia="zh-CN"/>
                      <w14:textFill>
                        <w14:solidFill>
                          <w14:schemeClr w14:val="tx1"/>
                        </w14:solidFill>
                      </w14:textFill>
                    </w:rPr>
                    <w:t>本项目用地时限为三年半，</w:t>
                  </w: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将</w:t>
                  </w:r>
                  <w:r>
                    <w:rPr>
                      <w:rFonts w:hint="eastAsia" w:ascii="宋体" w:hAnsi="宋体" w:eastAsia="宋体"/>
                      <w:color w:val="000000" w:themeColor="text1"/>
                      <w:sz w:val="21"/>
                      <w:szCs w:val="24"/>
                      <w:highlight w:val="none"/>
                      <w14:textFill>
                        <w14:solidFill>
                          <w14:schemeClr w14:val="tx1"/>
                        </w14:solidFill>
                      </w14:textFill>
                    </w:rPr>
                    <w:t>严格控制占地范围。</w:t>
                  </w:r>
                </w:p>
              </w:tc>
              <w:tc>
                <w:tcPr>
                  <w:tcW w:w="447" w:type="pct"/>
                  <w:vAlign w:val="center"/>
                </w:tcPr>
                <w:p w14:paraId="0FE5B6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0DE643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19" w:type="pct"/>
                  <w:vAlign w:val="center"/>
                </w:tcPr>
                <w:p w14:paraId="3998538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四、落实临时用地恢复责任</w:t>
                  </w:r>
                </w:p>
              </w:tc>
              <w:tc>
                <w:tcPr>
                  <w:tcW w:w="3366" w:type="pct"/>
                  <w:vAlign w:val="center"/>
                </w:tcPr>
                <w:p w14:paraId="67C6F114">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使用人应当按照批准的用途使用土地，不得转让、出租、抵押临时用地。临时用地使用人应当自临时用地期满之日起一年内完成土地复垦，因气候、灾害等不可抗力因素影响复垦的，经批准可以适当延长复垦期限。</w:t>
                  </w:r>
                </w:p>
                <w:p w14:paraId="17C2E22C">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严格落实临时用地恢复责任，临时用地期满后应当拆除临时建（构）筑物，使用耕地的应当复垦为耕地，确保耕地面积不减少、质量不降低；使用耕地以外的其他农用地的应当恢复为农用地；使用未利用地的，对于符合条件的鼓励复垦为耕地。</w:t>
                  </w:r>
                </w:p>
                <w:p w14:paraId="3E009A96">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县（市）自然资源主管部门依法监督临时用地使用人履行复垦义务情况，对逾期不恢复种植条件、违反土地复垦规定的行为，责令限期改正，并依照法律法规的规定进行处罚。按年度统计，县（市）范围内的临时用地，超期一年以上未完成土地复垦规模达到应复垦规模</w:t>
                  </w:r>
                  <w:r>
                    <w:rPr>
                      <w:rFonts w:hint="eastAsia" w:ascii="TimesNewRomanPSMT" w:hAnsi="TimesNewRomanPSMT" w:eastAsia="TimesNewRomanPSMT"/>
                      <w:color w:val="000000" w:themeColor="text1"/>
                      <w:sz w:val="21"/>
                      <w:szCs w:val="24"/>
                      <w:highlight w:val="none"/>
                      <w14:textFill>
                        <w14:solidFill>
                          <w14:schemeClr w14:val="tx1"/>
                        </w14:solidFill>
                      </w14:textFill>
                    </w:rPr>
                    <w:t>20%</w:t>
                  </w:r>
                  <w:r>
                    <w:rPr>
                      <w:rFonts w:hint="eastAsia" w:ascii="宋体" w:hAnsi="宋体" w:eastAsia="宋体"/>
                      <w:color w:val="000000" w:themeColor="text1"/>
                      <w:sz w:val="21"/>
                      <w:szCs w:val="24"/>
                      <w:highlight w:val="none"/>
                      <w14:textFill>
                        <w14:solidFill>
                          <w14:schemeClr w14:val="tx1"/>
                        </w14:solidFill>
                      </w14:textFill>
                    </w:rPr>
                    <w:t>以上的，省级自然资源主管部门应当要求所在县（市）暂停审批新的临时用地，根据县（市）整改情况恢复审批。</w:t>
                  </w:r>
                </w:p>
              </w:tc>
              <w:tc>
                <w:tcPr>
                  <w:tcW w:w="865" w:type="pct"/>
                  <w:vAlign w:val="center"/>
                </w:tcPr>
                <w:p w14:paraId="118BE751">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项目用地不进行转让、出租、抵押。</w:t>
                  </w:r>
                  <w:r>
                    <w:rPr>
                      <w:rFonts w:hint="eastAsia" w:ascii="宋体" w:hAnsi="宋体" w:eastAsia="宋体"/>
                      <w:color w:val="000000" w:themeColor="text1"/>
                      <w:sz w:val="21"/>
                      <w:szCs w:val="24"/>
                      <w:highlight w:val="none"/>
                      <w:lang w:eastAsia="zh-CN"/>
                      <w14:textFill>
                        <w14:solidFill>
                          <w14:schemeClr w14:val="tx1"/>
                        </w14:solidFill>
                      </w14:textFill>
                    </w:rPr>
                    <w:t>用地性质属于建设用地，</w:t>
                  </w:r>
                  <w:r>
                    <w:rPr>
                      <w:rFonts w:hint="eastAsia" w:ascii="宋体" w:hAnsi="宋体" w:eastAsia="宋体"/>
                      <w:color w:val="000000" w:themeColor="text1"/>
                      <w:sz w:val="21"/>
                      <w:szCs w:val="24"/>
                      <w:highlight w:val="none"/>
                      <w14:textFill>
                        <w14:solidFill>
                          <w14:schemeClr w14:val="tx1"/>
                        </w14:solidFill>
                      </w14:textFill>
                    </w:rPr>
                    <w:t>项目运营期结束后，</w:t>
                  </w:r>
                  <w:r>
                    <w:rPr>
                      <w:rFonts w:hint="eastAsia" w:ascii="宋体" w:hAnsi="宋体" w:eastAsia="宋体"/>
                      <w:color w:val="000000" w:themeColor="text1"/>
                      <w:sz w:val="21"/>
                      <w:szCs w:val="24"/>
                      <w:highlight w:val="none"/>
                      <w:lang w:eastAsia="zh-CN"/>
                      <w14:textFill>
                        <w14:solidFill>
                          <w14:schemeClr w14:val="tx1"/>
                        </w14:solidFill>
                      </w14:textFill>
                    </w:rPr>
                    <w:t>拆除生产设备，场地无需复垦</w:t>
                  </w:r>
                  <w:r>
                    <w:rPr>
                      <w:rFonts w:hint="eastAsia" w:ascii="宋体" w:hAnsi="宋体" w:eastAsia="宋体"/>
                      <w:color w:val="000000" w:themeColor="text1"/>
                      <w:sz w:val="21"/>
                      <w:szCs w:val="24"/>
                      <w:highlight w:val="none"/>
                      <w14:textFill>
                        <w14:solidFill>
                          <w14:schemeClr w14:val="tx1"/>
                        </w14:solidFill>
                      </w14:textFill>
                    </w:rPr>
                    <w:t>。</w:t>
                  </w:r>
                </w:p>
              </w:tc>
              <w:tc>
                <w:tcPr>
                  <w:tcW w:w="447" w:type="pct"/>
                  <w:vAlign w:val="center"/>
                </w:tcPr>
                <w:p w14:paraId="1B558DA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bl>
          <w:p w14:paraId="0DFAD22D">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由上表分析可知，本项目建设符合《自然资源部关于规范临时用地管理的通知》（自然资规〔2021〕2号）相关要求。</w:t>
            </w:r>
          </w:p>
          <w:p w14:paraId="46E086C9">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eastAsia="宋体"/>
                <w:b/>
                <w:bCs/>
                <w:color w:val="000000" w:themeColor="text1"/>
                <w:kern w:val="2"/>
                <w:highlight w:val="none"/>
                <w:lang w:eastAsia="zh-CN"/>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八、与《四川省自然资源厅关于进一步明确临时用地管理有关事项的通知》（川自然资规〔2022〕3号）符合性分析</w:t>
            </w:r>
          </w:p>
          <w:p w14:paraId="2B80BEDE">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根据《四川省自然资源厅关于进一步明确临时用地管理有关事项的通知》（川自然资规〔2022〕3 号）的要求，其符合性分析如下：</w:t>
            </w:r>
          </w:p>
          <w:p w14:paraId="165D80BE">
            <w:pPr>
              <w:pStyle w:val="41"/>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bCs/>
                <w:color w:val="000000" w:themeColor="text1"/>
                <w:kern w:val="2"/>
                <w:sz w:val="21"/>
                <w:szCs w:val="21"/>
                <w:highlight w:val="none"/>
                <w:lang w:eastAsia="zh-CN"/>
                <w14:textFill>
                  <w14:solidFill>
                    <w14:schemeClr w14:val="tx1"/>
                  </w14:solidFill>
                </w14:textFill>
              </w:rPr>
              <w:t>表</w:t>
            </w:r>
            <w:r>
              <w:rPr>
                <w:rFonts w:hint="eastAsia" w:eastAsia="宋体"/>
                <w:b/>
                <w:bCs/>
                <w:color w:val="000000" w:themeColor="text1"/>
                <w:kern w:val="2"/>
                <w:sz w:val="21"/>
                <w:szCs w:val="21"/>
                <w:highlight w:val="none"/>
                <w:lang w:val="en-US" w:eastAsia="zh-CN"/>
                <w14:textFill>
                  <w14:solidFill>
                    <w14:schemeClr w14:val="tx1"/>
                  </w14:solidFill>
                </w14:textFill>
              </w:rPr>
              <w:t>1-6</w:t>
            </w:r>
            <w:r>
              <w:rPr>
                <w:rFonts w:hint="eastAsia" w:eastAsia="宋体"/>
                <w:b/>
                <w:bCs/>
                <w:color w:val="000000" w:themeColor="text1"/>
                <w:kern w:val="2"/>
                <w:sz w:val="21"/>
                <w:szCs w:val="21"/>
                <w:highlight w:val="none"/>
                <w:lang w:eastAsia="zh-CN"/>
                <w14:textFill>
                  <w14:solidFill>
                    <w14:schemeClr w14:val="tx1"/>
                  </w14:solidFill>
                </w14:textFill>
              </w:rPr>
              <w:t>与《四川省自然资源厅关于进一步明确临时用地管理有关事项的通知》符合性</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1"/>
              <w:gridCol w:w="5039"/>
              <w:gridCol w:w="1350"/>
              <w:gridCol w:w="698"/>
            </w:tblGrid>
            <w:tr w14:paraId="48330B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78658CA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序号</w:t>
                  </w:r>
                </w:p>
              </w:tc>
              <w:tc>
                <w:tcPr>
                  <w:tcW w:w="3230" w:type="pct"/>
                  <w:vAlign w:val="center"/>
                </w:tcPr>
                <w:p w14:paraId="66A027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文件</w:t>
                  </w:r>
                  <w:r>
                    <w:rPr>
                      <w:rFonts w:ascii="Times New Roman" w:hAnsi="Times New Roman" w:eastAsia="宋体"/>
                      <w:b/>
                      <w:bCs/>
                      <w:color w:val="000000" w:themeColor="text1"/>
                      <w:szCs w:val="21"/>
                      <w:highlight w:val="none"/>
                      <w14:textFill>
                        <w14:solidFill>
                          <w14:schemeClr w14:val="tx1"/>
                        </w14:solidFill>
                      </w14:textFill>
                    </w:rPr>
                    <w:t>要求</w:t>
                  </w:r>
                </w:p>
              </w:tc>
              <w:tc>
                <w:tcPr>
                  <w:tcW w:w="865" w:type="pct"/>
                  <w:vAlign w:val="center"/>
                </w:tcPr>
                <w:p w14:paraId="686AE1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本项目</w:t>
                  </w:r>
                  <w:r>
                    <w:rPr>
                      <w:rFonts w:hint="eastAsia" w:ascii="Times New Roman" w:hAnsi="Times New Roman" w:eastAsia="宋体"/>
                      <w:b/>
                      <w:bCs/>
                      <w:color w:val="000000" w:themeColor="text1"/>
                      <w:szCs w:val="21"/>
                      <w:highlight w:val="none"/>
                      <w14:textFill>
                        <w14:solidFill>
                          <w14:schemeClr w14:val="tx1"/>
                        </w14:solidFill>
                      </w14:textFill>
                    </w:rPr>
                    <w:t>情况</w:t>
                  </w:r>
                </w:p>
              </w:tc>
              <w:tc>
                <w:tcPr>
                  <w:tcW w:w="447" w:type="pct"/>
                  <w:vAlign w:val="center"/>
                </w:tcPr>
                <w:p w14:paraId="187C69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符合性</w:t>
                  </w:r>
                </w:p>
              </w:tc>
            </w:tr>
            <w:tr w14:paraId="47F98A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37DCD893">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一、进一步规范临时用地审批。</w:t>
                  </w:r>
                </w:p>
              </w:tc>
              <w:tc>
                <w:tcPr>
                  <w:tcW w:w="3230" w:type="pct"/>
                  <w:vAlign w:val="center"/>
                </w:tcPr>
                <w:p w14:paraId="656FF669">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临时用地审批权不得下放或委托相关部门行使。涉及占用耕地和永久基本农田的临时用地，由市级自然资源主管部门负责审批</w:t>
                  </w:r>
                  <w:r>
                    <w:rPr>
                      <w:rFonts w:hint="eastAsia" w:ascii="TimesNewRomanPSMT" w:hAnsi="TimesNewRomanPSMT" w:eastAsia="宋体"/>
                      <w:color w:val="000000" w:themeColor="text1"/>
                      <w:sz w:val="21"/>
                      <w:szCs w:val="24"/>
                      <w:highlight w:val="none"/>
                      <w:lang w:eastAsia="zh-CN"/>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不涉及的由县级自然资源主管部门负责审批。需要临时使用林地的，应当按照《中华人民共和国森林法》有关规定进行临时用地审批。临时用地位于地质灾害易发区进行工程建设的，申请人应按照《地质灾害防治条例》有关规定提供地质灾害危险性评估报告，并落实防治措施。</w:t>
                  </w:r>
                </w:p>
              </w:tc>
              <w:tc>
                <w:tcPr>
                  <w:tcW w:w="865" w:type="pct"/>
                  <w:vAlign w:val="center"/>
                </w:tcPr>
                <w:p w14:paraId="38468AC1">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不涉及占用耕地、永久</w:t>
                  </w:r>
                  <w:r>
                    <w:rPr>
                      <w:rFonts w:hint="eastAsia" w:ascii="宋体" w:hAnsi="宋体" w:eastAsia="宋体"/>
                      <w:color w:val="000000" w:themeColor="text1"/>
                      <w:sz w:val="21"/>
                      <w:szCs w:val="24"/>
                      <w:highlight w:val="none"/>
                      <w14:textFill>
                        <w14:solidFill>
                          <w14:schemeClr w14:val="tx1"/>
                        </w14:solidFill>
                      </w14:textFill>
                    </w:rPr>
                    <w:t>基本农田</w:t>
                  </w:r>
                  <w:r>
                    <w:rPr>
                      <w:rFonts w:hint="eastAsia" w:ascii="宋体" w:hAnsi="宋体" w:eastAsia="宋体"/>
                      <w:color w:val="000000" w:themeColor="text1"/>
                      <w:sz w:val="21"/>
                      <w:szCs w:val="24"/>
                      <w:highlight w:val="none"/>
                      <w:lang w:eastAsia="zh-CN"/>
                      <w14:textFill>
                        <w14:solidFill>
                          <w14:schemeClr w14:val="tx1"/>
                        </w14:solidFill>
                      </w14:textFill>
                    </w:rPr>
                    <w:t>及林地</w:t>
                  </w:r>
                  <w:r>
                    <w:rPr>
                      <w:rFonts w:hint="eastAsia" w:ascii="宋体" w:hAnsi="宋体" w:eastAsia="宋体"/>
                      <w:color w:val="000000" w:themeColor="text1"/>
                      <w:sz w:val="21"/>
                      <w:szCs w:val="24"/>
                      <w:highlight w:val="none"/>
                      <w14:textFill>
                        <w14:solidFill>
                          <w14:schemeClr w14:val="tx1"/>
                        </w14:solidFill>
                      </w14:textFill>
                    </w:rPr>
                    <w:t>。</w:t>
                  </w:r>
                </w:p>
              </w:tc>
              <w:tc>
                <w:tcPr>
                  <w:tcW w:w="447" w:type="pct"/>
                  <w:vAlign w:val="center"/>
                </w:tcPr>
                <w:p w14:paraId="7F9C6C1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26CB58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590CE4FB">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二、进一步落实临时用地恢复责任。</w:t>
                  </w:r>
                </w:p>
              </w:tc>
              <w:tc>
                <w:tcPr>
                  <w:tcW w:w="3230" w:type="pct"/>
                  <w:vAlign w:val="center"/>
                </w:tcPr>
                <w:p w14:paraId="20ADE081">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县级自然资源主管部门负责审查临时用地土地复垦方案，并在土地复垦义务人完成复垦工作后，会同农业农村等相关部门开展复垦验收。审批临时用地的市、县级自然资源主管部门，应通知申请人根据《土地复垦条例实施办法》有关规定办理土地复垦费用预存手续。</w:t>
                  </w:r>
                </w:p>
              </w:tc>
              <w:tc>
                <w:tcPr>
                  <w:tcW w:w="865" w:type="pct"/>
                  <w:vAlign w:val="center"/>
                </w:tcPr>
                <w:p w14:paraId="137D724D">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用地性质属于建设用地，</w:t>
                  </w:r>
                  <w:r>
                    <w:rPr>
                      <w:rFonts w:hint="eastAsia" w:ascii="宋体" w:hAnsi="宋体" w:eastAsia="宋体"/>
                      <w:color w:val="000000" w:themeColor="text1"/>
                      <w:sz w:val="21"/>
                      <w:szCs w:val="24"/>
                      <w:highlight w:val="none"/>
                      <w14:textFill>
                        <w14:solidFill>
                          <w14:schemeClr w14:val="tx1"/>
                        </w14:solidFill>
                      </w14:textFill>
                    </w:rPr>
                    <w:t>项目运营期结束后，</w:t>
                  </w:r>
                  <w:r>
                    <w:rPr>
                      <w:rFonts w:hint="eastAsia" w:ascii="宋体" w:hAnsi="宋体" w:eastAsia="宋体"/>
                      <w:color w:val="000000" w:themeColor="text1"/>
                      <w:sz w:val="21"/>
                      <w:szCs w:val="24"/>
                      <w:highlight w:val="none"/>
                      <w:lang w:eastAsia="zh-CN"/>
                      <w14:textFill>
                        <w14:solidFill>
                          <w14:schemeClr w14:val="tx1"/>
                        </w14:solidFill>
                      </w14:textFill>
                    </w:rPr>
                    <w:t>拆除生产设备，场地无需复垦</w:t>
                  </w:r>
                  <w:r>
                    <w:rPr>
                      <w:rFonts w:hint="eastAsia" w:ascii="宋体" w:hAnsi="宋体" w:eastAsia="宋体"/>
                      <w:color w:val="000000" w:themeColor="text1"/>
                      <w:sz w:val="21"/>
                      <w:szCs w:val="24"/>
                      <w:highlight w:val="none"/>
                      <w14:textFill>
                        <w14:solidFill>
                          <w14:schemeClr w14:val="tx1"/>
                        </w14:solidFill>
                      </w14:textFill>
                    </w:rPr>
                    <w:t>。</w:t>
                  </w:r>
                </w:p>
              </w:tc>
              <w:tc>
                <w:tcPr>
                  <w:tcW w:w="447" w:type="pct"/>
                  <w:vAlign w:val="center"/>
                </w:tcPr>
                <w:p w14:paraId="2C601F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056816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15D7F651">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三、进一步强化永久基本农田特殊保护</w:t>
                  </w:r>
                  <w:r>
                    <w:rPr>
                      <w:rFonts w:hint="eastAsia" w:ascii="宋体" w:hAnsi="宋体" w:eastAsia="宋体"/>
                      <w:color w:val="000000" w:themeColor="text1"/>
                      <w:sz w:val="21"/>
                      <w:szCs w:val="24"/>
                      <w:highlight w:val="none"/>
                      <w:lang w:eastAsia="zh-CN"/>
                      <w14:textFill>
                        <w14:solidFill>
                          <w14:schemeClr w14:val="tx1"/>
                        </w14:solidFill>
                      </w14:textFill>
                    </w:rPr>
                    <w:t>。</w:t>
                  </w:r>
                </w:p>
              </w:tc>
              <w:tc>
                <w:tcPr>
                  <w:tcW w:w="3230" w:type="pct"/>
                  <w:vAlign w:val="center"/>
                </w:tcPr>
                <w:p w14:paraId="190147AA">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市、县级自然资源主管部门要严格耕地用途管制，临时用地应尽量不占或少占耕地，原则上不占用永久基本农田。确需占用永久基本农田的，县级自然资源主管部门应在前期选址阶段，实地核实永久基本农田地块的空间位置、地类、面积、质量状况、利用现状等，组织编制临时用地踏勘报告，并对占用永久基本农田的必要性和合理性进行严格论证，报市级自然资源主管部门审查。</w:t>
                  </w:r>
                </w:p>
              </w:tc>
              <w:tc>
                <w:tcPr>
                  <w:tcW w:w="865" w:type="pct"/>
                  <w:vAlign w:val="center"/>
                </w:tcPr>
                <w:p w14:paraId="3A935A1A">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不涉及占用耕地、永久</w:t>
                  </w:r>
                  <w:r>
                    <w:rPr>
                      <w:rFonts w:hint="eastAsia" w:ascii="宋体" w:hAnsi="宋体" w:eastAsia="宋体"/>
                      <w:color w:val="000000" w:themeColor="text1"/>
                      <w:sz w:val="21"/>
                      <w:szCs w:val="24"/>
                      <w:highlight w:val="none"/>
                      <w14:textFill>
                        <w14:solidFill>
                          <w14:schemeClr w14:val="tx1"/>
                        </w14:solidFill>
                      </w14:textFill>
                    </w:rPr>
                    <w:t>基本农田</w:t>
                  </w:r>
                  <w:r>
                    <w:rPr>
                      <w:rFonts w:hint="eastAsia" w:ascii="宋体" w:hAnsi="宋体" w:eastAsia="宋体"/>
                      <w:color w:val="000000" w:themeColor="text1"/>
                      <w:sz w:val="21"/>
                      <w:szCs w:val="24"/>
                      <w:highlight w:val="none"/>
                      <w:lang w:eastAsia="zh-CN"/>
                      <w14:textFill>
                        <w14:solidFill>
                          <w14:schemeClr w14:val="tx1"/>
                        </w14:solidFill>
                      </w14:textFill>
                    </w:rPr>
                    <w:t>。</w:t>
                  </w:r>
                </w:p>
              </w:tc>
              <w:tc>
                <w:tcPr>
                  <w:tcW w:w="447" w:type="pct"/>
                  <w:vAlign w:val="center"/>
                </w:tcPr>
                <w:p w14:paraId="5AB157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6ABA70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7DE210A4">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宋体" w:hAnsi="宋体" w:eastAsia="宋体"/>
                      <w:color w:val="000000" w:themeColor="text1"/>
                      <w:sz w:val="21"/>
                      <w:szCs w:val="24"/>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四、进一步严格临时用地监管</w:t>
                  </w:r>
                  <w:r>
                    <w:rPr>
                      <w:rFonts w:hint="eastAsia" w:ascii="宋体" w:hAnsi="宋体" w:eastAsia="宋体"/>
                      <w:color w:val="000000" w:themeColor="text1"/>
                      <w:sz w:val="21"/>
                      <w:szCs w:val="24"/>
                      <w:highlight w:val="none"/>
                      <w:lang w:eastAsia="zh-CN"/>
                      <w14:textFill>
                        <w14:solidFill>
                          <w14:schemeClr w14:val="tx1"/>
                        </w14:solidFill>
                      </w14:textFill>
                    </w:rPr>
                    <w:t>。</w:t>
                  </w:r>
                </w:p>
              </w:tc>
              <w:tc>
                <w:tcPr>
                  <w:tcW w:w="3230" w:type="pct"/>
                  <w:vAlign w:val="center"/>
                </w:tcPr>
                <w:p w14:paraId="6032A952">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市、县级自然资源主管部门应按照相关规定对临时用地选址、审批、备案、使用、复垦进行严格审核把关、依法监督检查，严禁违规认定临时用地</w:t>
                  </w:r>
                  <w:r>
                    <w:rPr>
                      <w:rFonts w:hint="eastAsia" w:ascii="TimesNewRomanPSMT" w:hAnsi="TimesNewRomanPSMT" w:eastAsia="TimesNewRomanPSMT"/>
                      <w:color w:val="000000" w:themeColor="text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严禁在法律法规规定的禁止区域审批临时用地，严禁擅自扩大临时用地审批范围和延长使用期限，严禁以临时用地名义规避建设用地审批手续特别是建设占用耕地和永久基本农田，要坚持节约集约用地，切实保障临时用地依法管理、有序使用、及时恢复。</w:t>
                  </w:r>
                </w:p>
                <w:p w14:paraId="2695EC69">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按照“谁审批、谁备案”的原则，审批临时用地的市、县级自然资源主管部门负责按照《通知》有关规定完成临时用地信息系统备案工作。县级自然资源主管部门负责将临时用地占地范围以及批准文号以单独图层的方式统一纳入年度国土变更调查数据库</w:t>
                  </w:r>
                  <w:r>
                    <w:rPr>
                      <w:rFonts w:hint="eastAsia" w:ascii="TimesNewRomanPSMT" w:hAnsi="TimesNewRomanPSMT" w:eastAsia="TimesNewRomanPSMT"/>
                      <w:color w:val="000000" w:themeColor="text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并严格按照规定进行监测。</w:t>
                  </w:r>
                </w:p>
              </w:tc>
              <w:tc>
                <w:tcPr>
                  <w:tcW w:w="865" w:type="pct"/>
                  <w:vAlign w:val="center"/>
                </w:tcPr>
                <w:p w14:paraId="7E2B3910">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用地性质属于建设用地，</w:t>
                  </w:r>
                  <w:r>
                    <w:rPr>
                      <w:rFonts w:hint="eastAsia" w:ascii="宋体" w:hAnsi="宋体" w:eastAsia="宋体"/>
                      <w:color w:val="000000" w:themeColor="text1"/>
                      <w:sz w:val="21"/>
                      <w:szCs w:val="24"/>
                      <w:highlight w:val="none"/>
                      <w14:textFill>
                        <w14:solidFill>
                          <w14:schemeClr w14:val="tx1"/>
                        </w14:solidFill>
                      </w14:textFill>
                    </w:rPr>
                    <w:t>项目运营期结束后，</w:t>
                  </w:r>
                  <w:r>
                    <w:rPr>
                      <w:rFonts w:hint="eastAsia" w:ascii="宋体" w:hAnsi="宋体" w:eastAsia="宋体"/>
                      <w:color w:val="000000" w:themeColor="text1"/>
                      <w:sz w:val="21"/>
                      <w:szCs w:val="24"/>
                      <w:highlight w:val="none"/>
                      <w:lang w:eastAsia="zh-CN"/>
                      <w14:textFill>
                        <w14:solidFill>
                          <w14:schemeClr w14:val="tx1"/>
                        </w14:solidFill>
                      </w14:textFill>
                    </w:rPr>
                    <w:t>拆除生产设备，场地无需复垦</w:t>
                  </w:r>
                  <w:r>
                    <w:rPr>
                      <w:rFonts w:hint="eastAsia" w:ascii="宋体" w:hAnsi="宋体" w:eastAsia="宋体"/>
                      <w:color w:val="000000" w:themeColor="text1"/>
                      <w:sz w:val="21"/>
                      <w:szCs w:val="24"/>
                      <w:highlight w:val="none"/>
                      <w14:textFill>
                        <w14:solidFill>
                          <w14:schemeClr w14:val="tx1"/>
                        </w14:solidFill>
                      </w14:textFill>
                    </w:rPr>
                    <w:t>。</w:t>
                  </w:r>
                </w:p>
              </w:tc>
              <w:tc>
                <w:tcPr>
                  <w:tcW w:w="447" w:type="pct"/>
                  <w:vAlign w:val="center"/>
                </w:tcPr>
                <w:p w14:paraId="13543A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bl>
          <w:p w14:paraId="202D5F0C">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由上表分析可知，本项目建设符合《四川省自然资源厅关于进一步明确临时用地管理有关事项的通知》（川自然资规〔2022〕3号）相关要求。</w:t>
            </w:r>
          </w:p>
          <w:p w14:paraId="4502D50C">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eastAsia="宋体"/>
                <w:b/>
                <w:bCs/>
                <w:color w:val="000000" w:themeColor="text1"/>
                <w:kern w:val="2"/>
                <w:highlight w:val="none"/>
                <w:lang w:eastAsia="zh-CN"/>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九、与G42线南充至成都段高速公路扩容工程符合性分析</w:t>
            </w:r>
          </w:p>
          <w:p w14:paraId="0A310BB2">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2020年2月招商局重庆交通科研设计院有限公司编制完成了四川成南高速公路有限责任公司</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《G42线南充至成都段高速公路扩容工程环境影响报告书》，并于</w:t>
            </w:r>
            <w:r>
              <w:rPr>
                <w:rFonts w:hint="eastAsia" w:eastAsia="宋体"/>
                <w:b w:val="0"/>
                <w:bCs w:val="0"/>
                <w:color w:val="000000" w:themeColor="text1"/>
                <w:kern w:val="2"/>
                <w:highlight w:val="none"/>
                <w:lang w:val="en-US" w:eastAsia="zh-CN"/>
                <w14:textFill>
                  <w14:solidFill>
                    <w14:schemeClr w14:val="tx1"/>
                  </w14:solidFill>
                </w14:textFill>
              </w:rPr>
              <w:t>2020年3月5日取得《四川省生态环境厅关于G42线南充至成都段高速公路扩容工程环境影响报告书的批复》（川环审批【2020】29号）。</w:t>
            </w:r>
          </w:p>
          <w:p w14:paraId="55D628D0">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w:t>
            </w:r>
            <w:r>
              <w:rPr>
                <w:rFonts w:hint="eastAsia" w:eastAsia="宋体"/>
                <w:b w:val="0"/>
                <w:bCs w:val="0"/>
                <w:color w:val="000000" w:themeColor="text1"/>
                <w:kern w:val="2"/>
                <w:highlight w:val="none"/>
                <w:lang w:val="en-US" w:eastAsia="zh-CN"/>
                <w14:textFill>
                  <w14:solidFill>
                    <w14:schemeClr w14:val="tx1"/>
                  </w14:solidFill>
                </w14:textFill>
              </w:rPr>
              <w:t>2.6.14施工生产生活区，内容如下：施工场地主要包括预制场、拌和场，施工驻地结合施工场地一并布设。结合项目沿线自然社会环境现状，道路沿线初步拟定了17处拌和场和16处预制场，施工驻地与拌和场合并设置。在施工场地设置中，特别是对于互通式立交工程较多，施工场地可利用新建互通式立交的永久占地区域设置，尽可能节约用地。</w:t>
            </w:r>
          </w:p>
          <w:p w14:paraId="2BC8D5D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1、预制场</w:t>
            </w:r>
          </w:p>
          <w:p w14:paraId="50224D7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w:t>
            </w:r>
            <w:r>
              <w:rPr>
                <w:rFonts w:hint="eastAsia" w:eastAsia="宋体"/>
                <w:color w:val="000000" w:themeColor="text1"/>
                <w:kern w:val="2"/>
                <w:highlight w:val="none"/>
                <w:lang w:val="en-US" w:eastAsia="zh-CN"/>
                <w14:textFill>
                  <w14:solidFill>
                    <w14:schemeClr w14:val="tx1"/>
                  </w14:solidFill>
                </w14:textFill>
              </w:rPr>
              <w:t>共设置16处预制场，本次仅分析与遂宁市预制场（5处）符合性。</w:t>
            </w:r>
          </w:p>
          <w:p w14:paraId="0DE837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1-7</w:t>
            </w:r>
            <w:r>
              <w:rPr>
                <w:rFonts w:ascii="Times New Roman" w:hAnsi="Times New Roman" w:eastAsia="宋体"/>
                <w:b/>
                <w:bCs/>
                <w:color w:val="000000" w:themeColor="text1"/>
                <w:szCs w:val="21"/>
                <w:highlight w:val="none"/>
                <w:lang w:bidi="ar"/>
                <w14:textFill>
                  <w14:solidFill>
                    <w14:schemeClr w14:val="tx1"/>
                  </w14:solidFill>
                </w14:textFill>
              </w:rPr>
              <w:t xml:space="preserve">    </w:t>
            </w:r>
            <w:r>
              <w:rPr>
                <w:rFonts w:hint="default" w:ascii="Times New Roman" w:hAnsi="Times New Roman" w:eastAsia="宋体" w:cs="Times New Roman"/>
                <w:b/>
                <w:bCs/>
                <w:color w:val="000000" w:themeColor="text1"/>
                <w:kern w:val="2"/>
                <w:highlight w:val="none"/>
                <w:lang w:eastAsia="zh-CN"/>
                <w14:textFill>
                  <w14:solidFill>
                    <w14:schemeClr w14:val="tx1"/>
                  </w14:solidFill>
                </w14:textFill>
              </w:rPr>
              <w:t>与G42线南充至成都段高速公路扩容工程</w:t>
            </w:r>
            <w:r>
              <w:rPr>
                <w:rFonts w:hint="eastAsia" w:ascii="Times New Roman" w:hAnsi="Times New Roman" w:eastAsia="宋体" w:cs="Times New Roman"/>
                <w:b/>
                <w:bCs/>
                <w:color w:val="000000" w:themeColor="text1"/>
                <w:kern w:val="2"/>
                <w:highlight w:val="none"/>
                <w:lang w:eastAsia="zh-CN"/>
                <w14:textFill>
                  <w14:solidFill>
                    <w14:schemeClr w14:val="tx1"/>
                  </w14:solidFill>
                </w14:textFill>
              </w:rPr>
              <w:t>预制场</w:t>
            </w:r>
            <w:r>
              <w:rPr>
                <w:rFonts w:hint="default" w:ascii="Times New Roman" w:hAnsi="Times New Roman" w:eastAsia="宋体" w:cs="Times New Roman"/>
                <w:b/>
                <w:bCs/>
                <w:color w:val="000000" w:themeColor="text1"/>
                <w:kern w:val="2"/>
                <w:highlight w:val="none"/>
                <w:lang w:eastAsia="zh-CN"/>
                <w14:textFill>
                  <w14:solidFill>
                    <w14:schemeClr w14:val="tx1"/>
                  </w14:solidFill>
                </w14:textFill>
              </w:rPr>
              <w:t>符合性分析</w:t>
            </w:r>
          </w:p>
          <w:tbl>
            <w:tblPr>
              <w:tblStyle w:val="20"/>
              <w:tblW w:w="489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52"/>
              <w:gridCol w:w="537"/>
              <w:gridCol w:w="1134"/>
              <w:gridCol w:w="955"/>
              <w:gridCol w:w="1377"/>
              <w:gridCol w:w="955"/>
              <w:gridCol w:w="1309"/>
              <w:gridCol w:w="668"/>
            </w:tblGrid>
            <w:tr w14:paraId="4F7688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7" w:type="pct"/>
                  <w:tcBorders>
                    <w:tl2br w:val="nil"/>
                    <w:tr2bl w:val="nil"/>
                  </w:tcBorders>
                  <w:vAlign w:val="center"/>
                </w:tcPr>
                <w:p w14:paraId="546134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行政区划</w:t>
                  </w:r>
                </w:p>
              </w:tc>
              <w:tc>
                <w:tcPr>
                  <w:tcW w:w="344" w:type="pct"/>
                  <w:tcBorders>
                    <w:tl2br w:val="nil"/>
                    <w:tr2bl w:val="nil"/>
                  </w:tcBorders>
                  <w:vAlign w:val="center"/>
                </w:tcPr>
                <w:p w14:paraId="454DB7A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序号</w:t>
                  </w:r>
                </w:p>
              </w:tc>
              <w:tc>
                <w:tcPr>
                  <w:tcW w:w="728" w:type="pct"/>
                  <w:tcBorders>
                    <w:tl2br w:val="nil"/>
                    <w:tr2bl w:val="nil"/>
                  </w:tcBorders>
                  <w:vAlign w:val="center"/>
                </w:tcPr>
                <w:p w14:paraId="2BC0D2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桩号</w:t>
                  </w:r>
                </w:p>
              </w:tc>
              <w:tc>
                <w:tcPr>
                  <w:tcW w:w="613" w:type="pct"/>
                  <w:tcBorders>
                    <w:tl2br w:val="nil"/>
                    <w:tr2bl w:val="nil"/>
                  </w:tcBorders>
                  <w:vAlign w:val="center"/>
                </w:tcPr>
                <w:p w14:paraId="395369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占地面积</w:t>
                  </w:r>
                  <w:r>
                    <w:rPr>
                      <w:rFonts w:hint="eastAsia" w:ascii="Times New Roman" w:hAnsi="Times New Roman" w:eastAsia="宋体" w:cs="Times New Roman"/>
                      <w:b/>
                      <w:bCs/>
                      <w:color w:val="000000" w:themeColor="text1"/>
                      <w:szCs w:val="21"/>
                      <w:highlight w:val="none"/>
                      <w:lang w:val="en-US" w:eastAsia="zh-CN" w:bidi="ar"/>
                      <w14:textFill>
                        <w14:solidFill>
                          <w14:schemeClr w14:val="tx1"/>
                        </w14:solidFill>
                      </w14:textFill>
                    </w:rPr>
                    <w:t>hm</w:t>
                  </w:r>
                  <w:r>
                    <w:rPr>
                      <w:rFonts w:hint="eastAsia" w:ascii="Times New Roman" w:hAnsi="Times New Roman" w:eastAsia="宋体" w:cs="Times New Roman"/>
                      <w:b/>
                      <w:bCs/>
                      <w:color w:val="000000" w:themeColor="text1"/>
                      <w:szCs w:val="21"/>
                      <w:highlight w:val="none"/>
                      <w:vertAlign w:val="superscript"/>
                      <w:lang w:val="en-US" w:eastAsia="zh-CN" w:bidi="ar"/>
                      <w14:textFill>
                        <w14:solidFill>
                          <w14:schemeClr w14:val="tx1"/>
                        </w14:solidFill>
                      </w14:textFill>
                    </w:rPr>
                    <w:t>2</w:t>
                  </w:r>
                </w:p>
              </w:tc>
              <w:tc>
                <w:tcPr>
                  <w:tcW w:w="884" w:type="pct"/>
                  <w:tcBorders>
                    <w:tl2br w:val="nil"/>
                    <w:tr2bl w:val="nil"/>
                  </w:tcBorders>
                  <w:vAlign w:val="center"/>
                </w:tcPr>
                <w:p w14:paraId="5BF02C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主要施工对象</w:t>
                  </w:r>
                </w:p>
              </w:tc>
              <w:tc>
                <w:tcPr>
                  <w:tcW w:w="613" w:type="pct"/>
                  <w:tcBorders>
                    <w:tl2br w:val="nil"/>
                    <w:tr2bl w:val="nil"/>
                  </w:tcBorders>
                  <w:vAlign w:val="center"/>
                </w:tcPr>
                <w:p w14:paraId="02280D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备注</w:t>
                  </w:r>
                </w:p>
              </w:tc>
              <w:tc>
                <w:tcPr>
                  <w:tcW w:w="840" w:type="pct"/>
                  <w:tcBorders>
                    <w:tl2br w:val="nil"/>
                    <w:tr2bl w:val="nil"/>
                  </w:tcBorders>
                  <w:vAlign w:val="center"/>
                </w:tcPr>
                <w:p w14:paraId="622B27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本项目情况</w:t>
                  </w:r>
                </w:p>
              </w:tc>
              <w:tc>
                <w:tcPr>
                  <w:tcW w:w="428" w:type="pct"/>
                  <w:tcBorders>
                    <w:tl2br w:val="nil"/>
                    <w:tr2bl w:val="nil"/>
                  </w:tcBorders>
                  <w:vAlign w:val="center"/>
                </w:tcPr>
                <w:p w14:paraId="45D811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符合性</w:t>
                  </w:r>
                </w:p>
              </w:tc>
            </w:tr>
            <w:tr w14:paraId="10D2DA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7" w:type="pct"/>
                  <w:vMerge w:val="restart"/>
                  <w:tcBorders>
                    <w:tl2br w:val="nil"/>
                    <w:tr2bl w:val="nil"/>
                  </w:tcBorders>
                  <w:vAlign w:val="center"/>
                </w:tcPr>
                <w:p w14:paraId="2C69DB9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olor w:val="000000" w:themeColor="text1"/>
                      <w:szCs w:val="21"/>
                      <w:highlight w:val="none"/>
                      <w:lang w:val="en-US" w:eastAsia="zh-CN" w:bidi="ar"/>
                      <w14:textFill>
                        <w14:solidFill>
                          <w14:schemeClr w14:val="tx1"/>
                        </w14:solidFill>
                      </w14:textFill>
                    </w:rPr>
                    <w:t>大英县</w:t>
                  </w:r>
                </w:p>
              </w:tc>
              <w:tc>
                <w:tcPr>
                  <w:tcW w:w="344" w:type="pct"/>
                  <w:tcBorders>
                    <w:tl2br w:val="nil"/>
                    <w:tr2bl w:val="nil"/>
                  </w:tcBorders>
                  <w:vAlign w:val="center"/>
                </w:tcPr>
                <w:p w14:paraId="6249E3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w:t>
                  </w:r>
                </w:p>
              </w:tc>
              <w:tc>
                <w:tcPr>
                  <w:tcW w:w="728" w:type="pct"/>
                  <w:tcBorders>
                    <w:tl2br w:val="nil"/>
                    <w:tr2bl w:val="nil"/>
                  </w:tcBorders>
                  <w:vAlign w:val="center"/>
                </w:tcPr>
                <w:p w14:paraId="076CC7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IK106+200</w:t>
                  </w:r>
                </w:p>
              </w:tc>
              <w:tc>
                <w:tcPr>
                  <w:tcW w:w="613" w:type="pct"/>
                  <w:tcBorders>
                    <w:tl2br w:val="nil"/>
                    <w:tr2bl w:val="nil"/>
                  </w:tcBorders>
                  <w:vAlign w:val="center"/>
                </w:tcPr>
                <w:p w14:paraId="496806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0.81</w:t>
                  </w:r>
                </w:p>
              </w:tc>
              <w:tc>
                <w:tcPr>
                  <w:tcW w:w="884" w:type="pct"/>
                  <w:tcBorders>
                    <w:tl2br w:val="nil"/>
                    <w:tr2bl w:val="nil"/>
                  </w:tcBorders>
                  <w:vAlign w:val="center"/>
                </w:tcPr>
                <w:p w14:paraId="46567D9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大英互通、郪江大桥</w:t>
                  </w:r>
                </w:p>
              </w:tc>
              <w:tc>
                <w:tcPr>
                  <w:tcW w:w="613" w:type="pct"/>
                  <w:tcBorders>
                    <w:tl2br w:val="nil"/>
                    <w:tr2bl w:val="nil"/>
                  </w:tcBorders>
                  <w:vAlign w:val="center"/>
                </w:tcPr>
                <w:p w14:paraId="17C9DFA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t>/</w:t>
                  </w:r>
                </w:p>
              </w:tc>
              <w:tc>
                <w:tcPr>
                  <w:tcW w:w="840" w:type="pct"/>
                  <w:vMerge w:val="restart"/>
                  <w:tcBorders>
                    <w:tl2br w:val="nil"/>
                    <w:tr2bl w:val="nil"/>
                  </w:tcBorders>
                  <w:vAlign w:val="center"/>
                </w:tcPr>
                <w:p w14:paraId="2F421469">
                  <w:pPr>
                    <w:keepNext w:val="0"/>
                    <w:keepLines w:val="0"/>
                    <w:pageBreakBefore w:val="0"/>
                    <w:widowControl w:val="0"/>
                    <w:kinsoku/>
                    <w:wordWrap w:val="0"/>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bidi="ar"/>
                      <w14:textFill>
                        <w14:solidFill>
                          <w14:schemeClr w14:val="tx1"/>
                        </w14:solidFill>
                      </w14:textFill>
                    </w:rPr>
                    <w:t>本项目位于遂宁市蓬溪县大石镇偏马村一社，供应段落</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K1823+100~K1832+369.184，设置钢筋加工及预制梁厂。</w:t>
                  </w:r>
                </w:p>
              </w:tc>
              <w:tc>
                <w:tcPr>
                  <w:tcW w:w="428" w:type="pct"/>
                  <w:vMerge w:val="restart"/>
                  <w:tcBorders>
                    <w:tl2br w:val="nil"/>
                    <w:tr2bl w:val="nil"/>
                  </w:tcBorders>
                  <w:vAlign w:val="center"/>
                </w:tcPr>
                <w:p w14:paraId="51B074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不符合</w:t>
                  </w:r>
                </w:p>
              </w:tc>
            </w:tr>
            <w:tr w14:paraId="34C928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7" w:type="pct"/>
                  <w:vMerge w:val="continue"/>
                  <w:tcBorders>
                    <w:tl2br w:val="nil"/>
                    <w:tr2bl w:val="nil"/>
                  </w:tcBorders>
                  <w:vAlign w:val="center"/>
                </w:tcPr>
                <w:p w14:paraId="7D5D06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344" w:type="pct"/>
                  <w:tcBorders>
                    <w:tl2br w:val="nil"/>
                    <w:tr2bl w:val="nil"/>
                  </w:tcBorders>
                  <w:vAlign w:val="center"/>
                </w:tcPr>
                <w:p w14:paraId="108E43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p>
              </w:tc>
              <w:tc>
                <w:tcPr>
                  <w:tcW w:w="728" w:type="pct"/>
                  <w:tcBorders>
                    <w:tl2br w:val="nil"/>
                    <w:tr2bl w:val="nil"/>
                  </w:tcBorders>
                  <w:vAlign w:val="center"/>
                </w:tcPr>
                <w:p w14:paraId="624212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IK</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112</w:t>
                  </w:r>
                  <w:r>
                    <w:rPr>
                      <w:rFonts w:hint="eastAsia" w:ascii="Times New Roman" w:hAnsi="Times New Roman" w:eastAsia="宋体"/>
                      <w:color w:val="000000" w:themeColor="text1"/>
                      <w:szCs w:val="21"/>
                      <w:highlight w:val="none"/>
                      <w:lang w:eastAsia="zh-CN" w:bidi="ar"/>
                      <w14:textFill>
                        <w14:solidFill>
                          <w14:schemeClr w14:val="tx1"/>
                        </w14:solidFill>
                      </w14:textFill>
                    </w:rPr>
                    <w:t>+</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450</w:t>
                  </w:r>
                </w:p>
              </w:tc>
              <w:tc>
                <w:tcPr>
                  <w:tcW w:w="613" w:type="pct"/>
                  <w:tcBorders>
                    <w:tl2br w:val="nil"/>
                    <w:tr2bl w:val="nil"/>
                  </w:tcBorders>
                  <w:vAlign w:val="center"/>
                </w:tcPr>
                <w:p w14:paraId="346ED5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w:t>
                  </w:r>
                </w:p>
              </w:tc>
              <w:tc>
                <w:tcPr>
                  <w:tcW w:w="884" w:type="pct"/>
                  <w:tcBorders>
                    <w:tl2br w:val="nil"/>
                    <w:tr2bl w:val="nil"/>
                  </w:tcBorders>
                  <w:vAlign w:val="center"/>
                </w:tcPr>
                <w:p w14:paraId="0C8021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伍家坡隧道、柏垭湾大桥</w:t>
                  </w:r>
                </w:p>
              </w:tc>
              <w:tc>
                <w:tcPr>
                  <w:tcW w:w="613" w:type="pct"/>
                  <w:tcBorders>
                    <w:tl2br w:val="nil"/>
                    <w:tr2bl w:val="nil"/>
                  </w:tcBorders>
                  <w:vAlign w:val="center"/>
                </w:tcPr>
                <w:p w14:paraId="0CE1EC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bidi="ar"/>
                      <w14:textFill>
                        <w14:solidFill>
                          <w14:schemeClr w14:val="tx1"/>
                        </w14:solidFill>
                      </w14:textFill>
                    </w:rPr>
                    <w:t>与拌和场合并布设</w:t>
                  </w:r>
                </w:p>
              </w:tc>
              <w:tc>
                <w:tcPr>
                  <w:tcW w:w="840" w:type="pct"/>
                  <w:vMerge w:val="continue"/>
                  <w:tcBorders>
                    <w:tl2br w:val="nil"/>
                    <w:tr2bl w:val="nil"/>
                  </w:tcBorders>
                  <w:vAlign w:val="center"/>
                </w:tcPr>
                <w:p w14:paraId="5FE052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28" w:type="pct"/>
                  <w:vMerge w:val="continue"/>
                  <w:tcBorders>
                    <w:tl2br w:val="nil"/>
                    <w:tr2bl w:val="nil"/>
                  </w:tcBorders>
                  <w:vAlign w:val="center"/>
                </w:tcPr>
                <w:p w14:paraId="1300622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025A1D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7" w:type="pct"/>
                  <w:vMerge w:val="continue"/>
                  <w:tcBorders>
                    <w:tl2br w:val="nil"/>
                    <w:tr2bl w:val="nil"/>
                  </w:tcBorders>
                  <w:vAlign w:val="center"/>
                </w:tcPr>
                <w:p w14:paraId="04D8BA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344" w:type="pct"/>
                  <w:tcBorders>
                    <w:tl2br w:val="nil"/>
                    <w:tr2bl w:val="nil"/>
                  </w:tcBorders>
                  <w:vAlign w:val="center"/>
                </w:tcPr>
                <w:p w14:paraId="7CCA73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p>
              </w:tc>
              <w:tc>
                <w:tcPr>
                  <w:tcW w:w="728" w:type="pct"/>
                  <w:tcBorders>
                    <w:tl2br w:val="nil"/>
                    <w:tr2bl w:val="nil"/>
                  </w:tcBorders>
                  <w:vAlign w:val="center"/>
                </w:tcPr>
                <w:p w14:paraId="01FA19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121</w:t>
                  </w:r>
                  <w:r>
                    <w:rPr>
                      <w:rFonts w:hint="eastAsia" w:ascii="Times New Roman" w:hAnsi="Times New Roman" w:eastAsia="宋体"/>
                      <w:color w:val="000000" w:themeColor="text1"/>
                      <w:szCs w:val="21"/>
                      <w:highlight w:val="none"/>
                      <w:lang w:eastAsia="zh-CN" w:bidi="ar"/>
                      <w14:textFill>
                        <w14:solidFill>
                          <w14:schemeClr w14:val="tx1"/>
                        </w14:solidFill>
                      </w14:textFill>
                    </w:rPr>
                    <w:t>+</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800</w:t>
                  </w:r>
                </w:p>
              </w:tc>
              <w:tc>
                <w:tcPr>
                  <w:tcW w:w="613" w:type="pct"/>
                  <w:tcBorders>
                    <w:tl2br w:val="nil"/>
                    <w:tr2bl w:val="nil"/>
                  </w:tcBorders>
                  <w:vAlign w:val="center"/>
                </w:tcPr>
                <w:p w14:paraId="1FAC063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0.54</w:t>
                  </w:r>
                </w:p>
              </w:tc>
              <w:tc>
                <w:tcPr>
                  <w:tcW w:w="884" w:type="pct"/>
                  <w:tcBorders>
                    <w:tl2br w:val="nil"/>
                    <w:tr2bl w:val="nil"/>
                  </w:tcBorders>
                  <w:vAlign w:val="center"/>
                </w:tcPr>
                <w:p w14:paraId="37B7C5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隆盛互通</w:t>
                  </w:r>
                </w:p>
              </w:tc>
              <w:tc>
                <w:tcPr>
                  <w:tcW w:w="613" w:type="pct"/>
                  <w:tcBorders>
                    <w:tl2br w:val="nil"/>
                    <w:tr2bl w:val="nil"/>
                  </w:tcBorders>
                  <w:vAlign w:val="center"/>
                </w:tcPr>
                <w:p w14:paraId="1974A90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w:t>
                  </w:r>
                </w:p>
              </w:tc>
              <w:tc>
                <w:tcPr>
                  <w:tcW w:w="840" w:type="pct"/>
                  <w:vMerge w:val="continue"/>
                  <w:tcBorders>
                    <w:tl2br w:val="nil"/>
                    <w:tr2bl w:val="nil"/>
                  </w:tcBorders>
                  <w:vAlign w:val="center"/>
                </w:tcPr>
                <w:p w14:paraId="6BE200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28" w:type="pct"/>
                  <w:vMerge w:val="continue"/>
                  <w:tcBorders>
                    <w:tl2br w:val="nil"/>
                    <w:tr2bl w:val="nil"/>
                  </w:tcBorders>
                  <w:vAlign w:val="center"/>
                </w:tcPr>
                <w:p w14:paraId="4E4FDE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172286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7" w:type="pct"/>
                  <w:tcBorders>
                    <w:tl2br w:val="nil"/>
                    <w:tr2bl w:val="nil"/>
                  </w:tcBorders>
                  <w:vAlign w:val="center"/>
                </w:tcPr>
                <w:p w14:paraId="690D47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船山区</w:t>
                  </w:r>
                </w:p>
              </w:tc>
              <w:tc>
                <w:tcPr>
                  <w:tcW w:w="344" w:type="pct"/>
                  <w:tcBorders>
                    <w:tl2br w:val="nil"/>
                    <w:tr2bl w:val="nil"/>
                  </w:tcBorders>
                  <w:vAlign w:val="center"/>
                </w:tcPr>
                <w:p w14:paraId="714F1D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w:t>
                  </w:r>
                </w:p>
              </w:tc>
              <w:tc>
                <w:tcPr>
                  <w:tcW w:w="728" w:type="pct"/>
                  <w:tcBorders>
                    <w:tl2br w:val="nil"/>
                    <w:tr2bl w:val="nil"/>
                  </w:tcBorders>
                  <w:vAlign w:val="center"/>
                </w:tcPr>
                <w:p w14:paraId="7F1ADE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K133+000</w:t>
                  </w:r>
                </w:p>
              </w:tc>
              <w:tc>
                <w:tcPr>
                  <w:tcW w:w="613" w:type="pct"/>
                  <w:tcBorders>
                    <w:tl2br w:val="nil"/>
                    <w:tr2bl w:val="nil"/>
                  </w:tcBorders>
                  <w:vAlign w:val="center"/>
                </w:tcPr>
                <w:p w14:paraId="5B25FA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0.69</w:t>
                  </w:r>
                </w:p>
              </w:tc>
              <w:tc>
                <w:tcPr>
                  <w:tcW w:w="884" w:type="pct"/>
                  <w:tcBorders>
                    <w:tl2br w:val="nil"/>
                    <w:tr2bl w:val="nil"/>
                  </w:tcBorders>
                  <w:vAlign w:val="center"/>
                </w:tcPr>
                <w:p w14:paraId="392DB9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涪江大桥</w:t>
                  </w:r>
                </w:p>
              </w:tc>
              <w:tc>
                <w:tcPr>
                  <w:tcW w:w="613" w:type="pct"/>
                  <w:tcBorders>
                    <w:tl2br w:val="nil"/>
                    <w:tr2bl w:val="nil"/>
                  </w:tcBorders>
                  <w:vAlign w:val="center"/>
                </w:tcPr>
                <w:p w14:paraId="165F76B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w:t>
                  </w:r>
                </w:p>
              </w:tc>
              <w:tc>
                <w:tcPr>
                  <w:tcW w:w="840" w:type="pct"/>
                  <w:vMerge w:val="continue"/>
                  <w:tcBorders>
                    <w:tl2br w:val="nil"/>
                    <w:tr2bl w:val="nil"/>
                  </w:tcBorders>
                  <w:vAlign w:val="center"/>
                </w:tcPr>
                <w:p w14:paraId="1F3D6B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28" w:type="pct"/>
                  <w:vMerge w:val="continue"/>
                  <w:tcBorders>
                    <w:tl2br w:val="nil"/>
                    <w:tr2bl w:val="nil"/>
                  </w:tcBorders>
                  <w:vAlign w:val="center"/>
                </w:tcPr>
                <w:p w14:paraId="76F4D8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01D029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7" w:type="pct"/>
                  <w:tcBorders>
                    <w:tl2br w:val="nil"/>
                    <w:tr2bl w:val="nil"/>
                  </w:tcBorders>
                  <w:vAlign w:val="center"/>
                </w:tcPr>
                <w:p w14:paraId="717934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蓬溪县</w:t>
                  </w:r>
                </w:p>
              </w:tc>
              <w:tc>
                <w:tcPr>
                  <w:tcW w:w="344" w:type="pct"/>
                  <w:tcBorders>
                    <w:tl2br w:val="nil"/>
                    <w:tr2bl w:val="nil"/>
                  </w:tcBorders>
                  <w:vAlign w:val="center"/>
                </w:tcPr>
                <w:p w14:paraId="0A07F8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p>
              </w:tc>
              <w:tc>
                <w:tcPr>
                  <w:tcW w:w="728" w:type="pct"/>
                  <w:tcBorders>
                    <w:tl2br w:val="nil"/>
                    <w:tr2bl w:val="nil"/>
                  </w:tcBorders>
                  <w:vAlign w:val="center"/>
                </w:tcPr>
                <w:p w14:paraId="3A8764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K146+400</w:t>
                  </w:r>
                </w:p>
              </w:tc>
              <w:tc>
                <w:tcPr>
                  <w:tcW w:w="613" w:type="pct"/>
                  <w:tcBorders>
                    <w:tl2br w:val="nil"/>
                    <w:tr2bl w:val="nil"/>
                  </w:tcBorders>
                  <w:vAlign w:val="center"/>
                </w:tcPr>
                <w:p w14:paraId="1D6775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w:t>
                  </w:r>
                </w:p>
              </w:tc>
              <w:tc>
                <w:tcPr>
                  <w:tcW w:w="884" w:type="pct"/>
                  <w:tcBorders>
                    <w:tl2br w:val="nil"/>
                    <w:tr2bl w:val="nil"/>
                  </w:tcBorders>
                  <w:vAlign w:val="center"/>
                </w:tcPr>
                <w:p w14:paraId="24C1B9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吉祥枢纽互通</w:t>
                  </w:r>
                </w:p>
              </w:tc>
              <w:tc>
                <w:tcPr>
                  <w:tcW w:w="613" w:type="pct"/>
                  <w:tcBorders>
                    <w:tl2br w:val="nil"/>
                    <w:tr2bl w:val="nil"/>
                  </w:tcBorders>
                  <w:vAlign w:val="center"/>
                </w:tcPr>
                <w:p w14:paraId="566DC5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bidi="ar"/>
                      <w14:textFill>
                        <w14:solidFill>
                          <w14:schemeClr w14:val="tx1"/>
                        </w14:solidFill>
                      </w14:textFill>
                    </w:rPr>
                  </w:pPr>
                  <w:r>
                    <w:rPr>
                      <w:rFonts w:hint="eastAsia" w:ascii="Times New Roman" w:hAnsi="Times New Roman" w:eastAsia="宋体"/>
                      <w:b w:val="0"/>
                      <w:bCs w:val="0"/>
                      <w:color w:val="000000" w:themeColor="text1"/>
                      <w:szCs w:val="21"/>
                      <w:highlight w:val="none"/>
                      <w:lang w:bidi="ar"/>
                      <w14:textFill>
                        <w14:solidFill>
                          <w14:schemeClr w14:val="tx1"/>
                        </w14:solidFill>
                      </w14:textFill>
                    </w:rPr>
                    <w:t>与拌和场合并布设</w:t>
                  </w:r>
                </w:p>
              </w:tc>
              <w:tc>
                <w:tcPr>
                  <w:tcW w:w="840" w:type="pct"/>
                  <w:vMerge w:val="continue"/>
                  <w:tcBorders>
                    <w:tl2br w:val="nil"/>
                    <w:tr2bl w:val="nil"/>
                  </w:tcBorders>
                  <w:vAlign w:val="center"/>
                </w:tcPr>
                <w:p w14:paraId="3C7170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28" w:type="pct"/>
                  <w:vMerge w:val="continue"/>
                  <w:tcBorders>
                    <w:tl2br w:val="nil"/>
                    <w:tr2bl w:val="nil"/>
                  </w:tcBorders>
                  <w:vAlign w:val="center"/>
                </w:tcPr>
                <w:p w14:paraId="561E06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bl>
          <w:p w14:paraId="4D80BB52">
            <w:pPr>
              <w:pStyle w:val="41"/>
              <w:keepNext w:val="0"/>
              <w:keepLines w:val="0"/>
              <w:pageBreakBefore w:val="0"/>
              <w:widowControl w:val="0"/>
              <w:kinsoku/>
              <w:wordWrap/>
              <w:overflowPunct/>
              <w:topLinePunct w:val="0"/>
              <w:autoSpaceDE/>
              <w:autoSpaceDN/>
              <w:bidi w:val="0"/>
              <w:adjustRightInd/>
              <w:snapToGrid/>
              <w:spacing w:line="500" w:lineRule="atLeast"/>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根据上表分析可知，本项目建设预制场不属于</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《G42线南充至成都段高速公路扩容工程环境影响报告书》中评价的预制场。</w:t>
            </w:r>
          </w:p>
          <w:p w14:paraId="2B6EBC68">
            <w:pPr>
              <w:pStyle w:val="41"/>
              <w:keepNext w:val="0"/>
              <w:keepLines w:val="0"/>
              <w:pageBreakBefore w:val="0"/>
              <w:widowControl w:val="0"/>
              <w:kinsoku/>
              <w:wordWrap/>
              <w:overflowPunct/>
              <w:topLinePunct w:val="0"/>
              <w:autoSpaceDE/>
              <w:autoSpaceDN/>
              <w:bidi w:val="0"/>
              <w:adjustRightInd/>
              <w:snapToGrid/>
              <w:spacing w:line="500" w:lineRule="atLeast"/>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2、拌和场</w:t>
            </w:r>
          </w:p>
          <w:p w14:paraId="0EF2F262">
            <w:pPr>
              <w:pStyle w:val="41"/>
              <w:keepNext w:val="0"/>
              <w:keepLines w:val="0"/>
              <w:pageBreakBefore w:val="0"/>
              <w:widowControl w:val="0"/>
              <w:kinsoku/>
              <w:wordWrap/>
              <w:overflowPunct/>
              <w:topLinePunct w:val="0"/>
              <w:autoSpaceDE/>
              <w:autoSpaceDN/>
              <w:bidi w:val="0"/>
              <w:adjustRightInd/>
              <w:snapToGrid/>
              <w:spacing w:line="500" w:lineRule="atLeast"/>
              <w:textAlignment w:val="auto"/>
              <w:rPr>
                <w:rFonts w:hint="eastAsia" w:eastAsia="宋体"/>
                <w:color w:val="000000" w:themeColor="text1"/>
                <w:kern w:val="2"/>
                <w:highlight w:val="none"/>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w:t>
            </w:r>
            <w:r>
              <w:rPr>
                <w:rFonts w:hint="eastAsia" w:eastAsia="宋体"/>
                <w:color w:val="000000" w:themeColor="text1"/>
                <w:kern w:val="2"/>
                <w:highlight w:val="none"/>
                <w:lang w:val="en-US" w:eastAsia="zh-CN"/>
                <w14:textFill>
                  <w14:solidFill>
                    <w14:schemeClr w14:val="tx1"/>
                  </w14:solidFill>
                </w14:textFill>
              </w:rPr>
              <w:t>共设置17处拌和场，本次仅分析与遂宁市拌和场符合性。</w:t>
            </w:r>
          </w:p>
          <w:p w14:paraId="3640ADF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1-8</w:t>
            </w:r>
            <w:r>
              <w:rPr>
                <w:rFonts w:ascii="Times New Roman" w:hAnsi="Times New Roman" w:eastAsia="宋体"/>
                <w:b/>
                <w:bCs/>
                <w:color w:val="000000" w:themeColor="text1"/>
                <w:szCs w:val="21"/>
                <w:highlight w:val="none"/>
                <w:lang w:bidi="ar"/>
                <w14:textFill>
                  <w14:solidFill>
                    <w14:schemeClr w14:val="tx1"/>
                  </w14:solidFill>
                </w14:textFill>
              </w:rPr>
              <w:t xml:space="preserve">    </w:t>
            </w:r>
            <w:r>
              <w:rPr>
                <w:rFonts w:hint="default" w:ascii="Times New Roman" w:hAnsi="Times New Roman" w:eastAsia="宋体" w:cs="Times New Roman"/>
                <w:b/>
                <w:bCs/>
                <w:color w:val="000000" w:themeColor="text1"/>
                <w:kern w:val="2"/>
                <w:highlight w:val="none"/>
                <w:lang w:eastAsia="zh-CN"/>
                <w14:textFill>
                  <w14:solidFill>
                    <w14:schemeClr w14:val="tx1"/>
                  </w14:solidFill>
                </w14:textFill>
              </w:rPr>
              <w:t>与G42线南充至成都段高速公路扩容工程拌和场符合性分析</w:t>
            </w:r>
          </w:p>
          <w:tbl>
            <w:tblPr>
              <w:tblStyle w:val="20"/>
              <w:tblW w:w="494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52"/>
              <w:gridCol w:w="436"/>
              <w:gridCol w:w="1214"/>
              <w:gridCol w:w="900"/>
              <w:gridCol w:w="1517"/>
              <w:gridCol w:w="1066"/>
              <w:gridCol w:w="1100"/>
              <w:gridCol w:w="683"/>
            </w:tblGrid>
            <w:tr w14:paraId="7ED3F8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tcBorders>
                    <w:tl2br w:val="nil"/>
                    <w:tr2bl w:val="nil"/>
                  </w:tcBorders>
                  <w:vAlign w:val="center"/>
                </w:tcPr>
                <w:p w14:paraId="317910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行政区划</w:t>
                  </w:r>
                </w:p>
              </w:tc>
              <w:tc>
                <w:tcPr>
                  <w:tcW w:w="277" w:type="pct"/>
                  <w:tcBorders>
                    <w:tl2br w:val="nil"/>
                    <w:tr2bl w:val="nil"/>
                  </w:tcBorders>
                  <w:vAlign w:val="center"/>
                </w:tcPr>
                <w:p w14:paraId="3D49E3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序号</w:t>
                  </w:r>
                </w:p>
              </w:tc>
              <w:tc>
                <w:tcPr>
                  <w:tcW w:w="771" w:type="pct"/>
                  <w:tcBorders>
                    <w:tl2br w:val="nil"/>
                    <w:tr2bl w:val="nil"/>
                  </w:tcBorders>
                  <w:vAlign w:val="center"/>
                </w:tcPr>
                <w:p w14:paraId="1E8FBB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桩号</w:t>
                  </w:r>
                </w:p>
              </w:tc>
              <w:tc>
                <w:tcPr>
                  <w:tcW w:w="571" w:type="pct"/>
                  <w:tcBorders>
                    <w:tl2br w:val="nil"/>
                    <w:tr2bl w:val="nil"/>
                  </w:tcBorders>
                  <w:vAlign w:val="center"/>
                </w:tcPr>
                <w:p w14:paraId="718E1D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占地面积</w:t>
                  </w:r>
                  <w:r>
                    <w:rPr>
                      <w:rFonts w:hint="eastAsia" w:ascii="Times New Roman" w:hAnsi="Times New Roman" w:eastAsia="宋体" w:cs="Times New Roman"/>
                      <w:b/>
                      <w:bCs/>
                      <w:color w:val="000000" w:themeColor="text1"/>
                      <w:szCs w:val="21"/>
                      <w:highlight w:val="none"/>
                      <w:lang w:val="en-US" w:eastAsia="zh-CN" w:bidi="ar"/>
                      <w14:textFill>
                        <w14:solidFill>
                          <w14:schemeClr w14:val="tx1"/>
                        </w14:solidFill>
                      </w14:textFill>
                    </w:rPr>
                    <w:t>hm</w:t>
                  </w:r>
                  <w:r>
                    <w:rPr>
                      <w:rFonts w:hint="eastAsia" w:ascii="Times New Roman" w:hAnsi="Times New Roman" w:eastAsia="宋体" w:cs="Times New Roman"/>
                      <w:b/>
                      <w:bCs/>
                      <w:color w:val="000000" w:themeColor="text1"/>
                      <w:szCs w:val="21"/>
                      <w:highlight w:val="none"/>
                      <w:vertAlign w:val="superscript"/>
                      <w:lang w:val="en-US" w:eastAsia="zh-CN" w:bidi="ar"/>
                      <w14:textFill>
                        <w14:solidFill>
                          <w14:schemeClr w14:val="tx1"/>
                        </w14:solidFill>
                      </w14:textFill>
                    </w:rPr>
                    <w:t>2</w:t>
                  </w:r>
                </w:p>
              </w:tc>
              <w:tc>
                <w:tcPr>
                  <w:tcW w:w="964" w:type="pct"/>
                  <w:tcBorders>
                    <w:tl2br w:val="nil"/>
                    <w:tr2bl w:val="nil"/>
                  </w:tcBorders>
                  <w:vAlign w:val="center"/>
                </w:tcPr>
                <w:p w14:paraId="19E40A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主要施工对象</w:t>
                  </w:r>
                </w:p>
              </w:tc>
              <w:tc>
                <w:tcPr>
                  <w:tcW w:w="677" w:type="pct"/>
                  <w:tcBorders>
                    <w:tl2br w:val="nil"/>
                    <w:tr2bl w:val="nil"/>
                  </w:tcBorders>
                  <w:vAlign w:val="center"/>
                </w:tcPr>
                <w:p w14:paraId="093E5C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拌和站类型</w:t>
                  </w:r>
                </w:p>
              </w:tc>
              <w:tc>
                <w:tcPr>
                  <w:tcW w:w="699" w:type="pct"/>
                  <w:tcBorders>
                    <w:tl2br w:val="nil"/>
                    <w:tr2bl w:val="nil"/>
                  </w:tcBorders>
                  <w:vAlign w:val="center"/>
                </w:tcPr>
                <w:p w14:paraId="78D7C4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本项目情况</w:t>
                  </w:r>
                </w:p>
              </w:tc>
              <w:tc>
                <w:tcPr>
                  <w:tcW w:w="434" w:type="pct"/>
                  <w:tcBorders>
                    <w:tl2br w:val="nil"/>
                    <w:tr2bl w:val="nil"/>
                  </w:tcBorders>
                  <w:vAlign w:val="center"/>
                </w:tcPr>
                <w:p w14:paraId="036759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符合性</w:t>
                  </w:r>
                </w:p>
              </w:tc>
            </w:tr>
            <w:tr w14:paraId="7179DB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tcBorders>
                    <w:tl2br w:val="nil"/>
                    <w:tr2bl w:val="nil"/>
                  </w:tcBorders>
                  <w:vAlign w:val="center"/>
                </w:tcPr>
                <w:p w14:paraId="44BB84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olor w:val="000000" w:themeColor="text1"/>
                      <w:szCs w:val="21"/>
                      <w:highlight w:val="none"/>
                      <w:lang w:val="en-US" w:eastAsia="zh-CN" w:bidi="ar"/>
                      <w14:textFill>
                        <w14:solidFill>
                          <w14:schemeClr w14:val="tx1"/>
                        </w14:solidFill>
                      </w14:textFill>
                    </w:rPr>
                    <w:t>大英县</w:t>
                  </w:r>
                </w:p>
              </w:tc>
              <w:tc>
                <w:tcPr>
                  <w:tcW w:w="277" w:type="pct"/>
                  <w:tcBorders>
                    <w:tl2br w:val="nil"/>
                    <w:tr2bl w:val="nil"/>
                  </w:tcBorders>
                  <w:vAlign w:val="center"/>
                </w:tcPr>
                <w:p w14:paraId="136D2A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w:t>
                  </w:r>
                </w:p>
              </w:tc>
              <w:tc>
                <w:tcPr>
                  <w:tcW w:w="771" w:type="pct"/>
                  <w:tcBorders>
                    <w:tl2br w:val="nil"/>
                    <w:tr2bl w:val="nil"/>
                  </w:tcBorders>
                  <w:vAlign w:val="center"/>
                </w:tcPr>
                <w:p w14:paraId="4CCA94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IK106+800</w:t>
                  </w:r>
                </w:p>
              </w:tc>
              <w:tc>
                <w:tcPr>
                  <w:tcW w:w="571" w:type="pct"/>
                  <w:tcBorders>
                    <w:tl2br w:val="nil"/>
                    <w:tr2bl w:val="nil"/>
                  </w:tcBorders>
                  <w:vAlign w:val="center"/>
                </w:tcPr>
                <w:p w14:paraId="130273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7.52</w:t>
                  </w:r>
                </w:p>
              </w:tc>
              <w:tc>
                <w:tcPr>
                  <w:tcW w:w="964" w:type="pct"/>
                  <w:tcBorders>
                    <w:tl2br w:val="nil"/>
                    <w:tr2bl w:val="nil"/>
                  </w:tcBorders>
                  <w:vAlign w:val="center"/>
                </w:tcPr>
                <w:p w14:paraId="32AF84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新建段沿线路基</w:t>
                  </w:r>
                </w:p>
              </w:tc>
              <w:tc>
                <w:tcPr>
                  <w:tcW w:w="677" w:type="pct"/>
                  <w:tcBorders>
                    <w:tl2br w:val="nil"/>
                    <w:tr2bl w:val="nil"/>
                  </w:tcBorders>
                  <w:vAlign w:val="center"/>
                </w:tcPr>
                <w:p w14:paraId="1B1EC6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布设冷热拌和场</w:t>
                  </w:r>
                </w:p>
              </w:tc>
              <w:tc>
                <w:tcPr>
                  <w:tcW w:w="699" w:type="pct"/>
                  <w:vMerge w:val="restart"/>
                  <w:tcBorders>
                    <w:tl2br w:val="nil"/>
                    <w:tr2bl w:val="nil"/>
                  </w:tcBorders>
                  <w:vAlign w:val="center"/>
                </w:tcPr>
                <w:p w14:paraId="0F0A89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bidi="ar"/>
                      <w14:textFill>
                        <w14:solidFill>
                          <w14:schemeClr w14:val="tx1"/>
                        </w14:solidFill>
                      </w14:textFill>
                    </w:rPr>
                    <w:t>本项目位于遂宁市蓬溪县大石镇偏马村一社，供应段落</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K1823+100~K1832+369.184，设置冷拌场。</w:t>
                  </w:r>
                </w:p>
              </w:tc>
              <w:tc>
                <w:tcPr>
                  <w:tcW w:w="434" w:type="pct"/>
                  <w:vMerge w:val="restart"/>
                  <w:tcBorders>
                    <w:tl2br w:val="nil"/>
                    <w:tr2bl w:val="nil"/>
                  </w:tcBorders>
                  <w:vAlign w:val="center"/>
                </w:tcPr>
                <w:p w14:paraId="339B5A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不符合</w:t>
                  </w:r>
                </w:p>
              </w:tc>
            </w:tr>
            <w:tr w14:paraId="49938F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restart"/>
                  <w:tcBorders>
                    <w:tl2br w:val="nil"/>
                    <w:tr2bl w:val="nil"/>
                  </w:tcBorders>
                  <w:vAlign w:val="center"/>
                </w:tcPr>
                <w:p w14:paraId="661362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船山区</w:t>
                  </w:r>
                </w:p>
              </w:tc>
              <w:tc>
                <w:tcPr>
                  <w:tcW w:w="277" w:type="pct"/>
                  <w:tcBorders>
                    <w:tl2br w:val="nil"/>
                    <w:tr2bl w:val="nil"/>
                  </w:tcBorders>
                  <w:vAlign w:val="center"/>
                </w:tcPr>
                <w:p w14:paraId="169542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p>
              </w:tc>
              <w:tc>
                <w:tcPr>
                  <w:tcW w:w="771" w:type="pct"/>
                  <w:tcBorders>
                    <w:tl2br w:val="nil"/>
                    <w:tr2bl w:val="nil"/>
                  </w:tcBorders>
                  <w:vAlign w:val="center"/>
                </w:tcPr>
                <w:p w14:paraId="5048DB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K130+000</w:t>
                  </w:r>
                </w:p>
              </w:tc>
              <w:tc>
                <w:tcPr>
                  <w:tcW w:w="571" w:type="pct"/>
                  <w:tcBorders>
                    <w:tl2br w:val="nil"/>
                    <w:tr2bl w:val="nil"/>
                  </w:tcBorders>
                  <w:vAlign w:val="center"/>
                </w:tcPr>
                <w:p w14:paraId="05718C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4.02</w:t>
                  </w:r>
                </w:p>
              </w:tc>
              <w:tc>
                <w:tcPr>
                  <w:tcW w:w="964" w:type="pct"/>
                  <w:tcBorders>
                    <w:tl2br w:val="nil"/>
                    <w:tr2bl w:val="nil"/>
                  </w:tcBorders>
                  <w:vAlign w:val="center"/>
                </w:tcPr>
                <w:p w14:paraId="5719C3F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沿线路基</w:t>
                  </w:r>
                </w:p>
              </w:tc>
              <w:tc>
                <w:tcPr>
                  <w:tcW w:w="677" w:type="pct"/>
                  <w:tcBorders>
                    <w:tl2br w:val="nil"/>
                    <w:tr2bl w:val="nil"/>
                  </w:tcBorders>
                  <w:vAlign w:val="center"/>
                </w:tcPr>
                <w:p w14:paraId="67B1D57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部分利用桂花枢纽设置冷拌场</w:t>
                  </w:r>
                </w:p>
              </w:tc>
              <w:tc>
                <w:tcPr>
                  <w:tcW w:w="699" w:type="pct"/>
                  <w:vMerge w:val="continue"/>
                  <w:tcBorders>
                    <w:tl2br w:val="nil"/>
                    <w:tr2bl w:val="nil"/>
                  </w:tcBorders>
                  <w:vAlign w:val="center"/>
                </w:tcPr>
                <w:p w14:paraId="129EDE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57A1F4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34DC66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continue"/>
                  <w:tcBorders>
                    <w:tl2br w:val="nil"/>
                    <w:tr2bl w:val="nil"/>
                  </w:tcBorders>
                  <w:vAlign w:val="center"/>
                </w:tcPr>
                <w:p w14:paraId="40BC673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277" w:type="pct"/>
                  <w:tcBorders>
                    <w:tl2br w:val="nil"/>
                    <w:tr2bl w:val="nil"/>
                  </w:tcBorders>
                  <w:vAlign w:val="center"/>
                </w:tcPr>
                <w:p w14:paraId="1BD173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p>
              </w:tc>
              <w:tc>
                <w:tcPr>
                  <w:tcW w:w="771" w:type="pct"/>
                  <w:tcBorders>
                    <w:tl2br w:val="nil"/>
                    <w:tr2bl w:val="nil"/>
                  </w:tcBorders>
                  <w:vAlign w:val="center"/>
                </w:tcPr>
                <w:p w14:paraId="37AD4A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HK137+800</w:t>
                  </w:r>
                </w:p>
              </w:tc>
              <w:tc>
                <w:tcPr>
                  <w:tcW w:w="571" w:type="pct"/>
                  <w:tcBorders>
                    <w:tl2br w:val="nil"/>
                    <w:tr2bl w:val="nil"/>
                  </w:tcBorders>
                  <w:vAlign w:val="center"/>
                </w:tcPr>
                <w:p w14:paraId="261CE7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4.16</w:t>
                  </w:r>
                </w:p>
              </w:tc>
              <w:tc>
                <w:tcPr>
                  <w:tcW w:w="964" w:type="pct"/>
                  <w:tcBorders>
                    <w:tl2br w:val="nil"/>
                    <w:tr2bl w:val="nil"/>
                  </w:tcBorders>
                  <w:vAlign w:val="center"/>
                </w:tcPr>
                <w:p w14:paraId="1A0A88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陈家湾隧道及沿线路基</w:t>
                  </w:r>
                </w:p>
              </w:tc>
              <w:tc>
                <w:tcPr>
                  <w:tcW w:w="677" w:type="pct"/>
                  <w:tcBorders>
                    <w:tl2br w:val="nil"/>
                    <w:tr2bl w:val="nil"/>
                  </w:tcBorders>
                  <w:vAlign w:val="center"/>
                </w:tcPr>
                <w:p w14:paraId="575B256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设置冷拌场</w:t>
                  </w:r>
                </w:p>
              </w:tc>
              <w:tc>
                <w:tcPr>
                  <w:tcW w:w="699" w:type="pct"/>
                  <w:vMerge w:val="continue"/>
                  <w:tcBorders>
                    <w:tl2br w:val="nil"/>
                    <w:tr2bl w:val="nil"/>
                  </w:tcBorders>
                  <w:vAlign w:val="center"/>
                </w:tcPr>
                <w:p w14:paraId="065679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616344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3E5ADD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restart"/>
                  <w:tcBorders>
                    <w:tl2br w:val="nil"/>
                    <w:tr2bl w:val="nil"/>
                  </w:tcBorders>
                  <w:vAlign w:val="center"/>
                </w:tcPr>
                <w:p w14:paraId="61EB56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蓬溪县</w:t>
                  </w:r>
                </w:p>
              </w:tc>
              <w:tc>
                <w:tcPr>
                  <w:tcW w:w="277" w:type="pct"/>
                  <w:tcBorders>
                    <w:tl2br w:val="nil"/>
                    <w:tr2bl w:val="nil"/>
                  </w:tcBorders>
                  <w:vAlign w:val="center"/>
                </w:tcPr>
                <w:p w14:paraId="4AC451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w:t>
                  </w:r>
                </w:p>
              </w:tc>
              <w:tc>
                <w:tcPr>
                  <w:tcW w:w="771" w:type="pct"/>
                  <w:tcBorders>
                    <w:tl2br w:val="nil"/>
                    <w:tr2bl w:val="nil"/>
                  </w:tcBorders>
                  <w:vAlign w:val="center"/>
                </w:tcPr>
                <w:p w14:paraId="66FE6B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K146+000</w:t>
                  </w:r>
                </w:p>
              </w:tc>
              <w:tc>
                <w:tcPr>
                  <w:tcW w:w="571" w:type="pct"/>
                  <w:tcBorders>
                    <w:tl2br w:val="nil"/>
                    <w:tr2bl w:val="nil"/>
                  </w:tcBorders>
                  <w:vAlign w:val="center"/>
                </w:tcPr>
                <w:p w14:paraId="1DB5F6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3.77</w:t>
                  </w:r>
                </w:p>
              </w:tc>
              <w:tc>
                <w:tcPr>
                  <w:tcW w:w="964" w:type="pct"/>
                  <w:tcBorders>
                    <w:tl2br w:val="nil"/>
                    <w:tr2bl w:val="nil"/>
                  </w:tcBorders>
                  <w:vAlign w:val="center"/>
                </w:tcPr>
                <w:p w14:paraId="014A4D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沿线路基</w:t>
                  </w:r>
                </w:p>
              </w:tc>
              <w:tc>
                <w:tcPr>
                  <w:tcW w:w="677" w:type="pct"/>
                  <w:tcBorders>
                    <w:tl2br w:val="nil"/>
                    <w:tr2bl w:val="nil"/>
                  </w:tcBorders>
                  <w:vAlign w:val="center"/>
                </w:tcPr>
                <w:p w14:paraId="144E57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bidi="ar"/>
                      <w14:textFill>
                        <w14:solidFill>
                          <w14:schemeClr w14:val="tx1"/>
                        </w14:solidFill>
                      </w14:textFill>
                    </w:rPr>
                  </w:pPr>
                  <w:r>
                    <w:rPr>
                      <w:rFonts w:hint="eastAsia" w:ascii="Times New Roman" w:hAnsi="Times New Roman" w:eastAsia="宋体"/>
                      <w:b w:val="0"/>
                      <w:bCs w:val="0"/>
                      <w:color w:val="000000" w:themeColor="text1"/>
                      <w:szCs w:val="21"/>
                      <w:highlight w:val="none"/>
                      <w:lang w:bidi="ar"/>
                      <w14:textFill>
                        <w14:solidFill>
                          <w14:schemeClr w14:val="tx1"/>
                        </w14:solidFill>
                      </w14:textFill>
                    </w:rPr>
                    <w:t>部分利用吉祥枢纽设置冷拌场</w:t>
                  </w:r>
                </w:p>
              </w:tc>
              <w:tc>
                <w:tcPr>
                  <w:tcW w:w="699" w:type="pct"/>
                  <w:vMerge w:val="continue"/>
                  <w:tcBorders>
                    <w:tl2br w:val="nil"/>
                    <w:tr2bl w:val="nil"/>
                  </w:tcBorders>
                  <w:vAlign w:val="center"/>
                </w:tcPr>
                <w:p w14:paraId="75FF2F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71B9C1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38829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continue"/>
                  <w:tcBorders>
                    <w:tl2br w:val="nil"/>
                    <w:tr2bl w:val="nil"/>
                  </w:tcBorders>
                  <w:vAlign w:val="center"/>
                </w:tcPr>
                <w:p w14:paraId="193286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277" w:type="pct"/>
                  <w:tcBorders>
                    <w:tl2br w:val="nil"/>
                    <w:tr2bl w:val="nil"/>
                  </w:tcBorders>
                  <w:vAlign w:val="center"/>
                </w:tcPr>
                <w:p w14:paraId="59CC52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p>
              </w:tc>
              <w:tc>
                <w:tcPr>
                  <w:tcW w:w="771" w:type="pct"/>
                  <w:tcBorders>
                    <w:tl2br w:val="nil"/>
                    <w:tr2bl w:val="nil"/>
                  </w:tcBorders>
                  <w:vAlign w:val="center"/>
                </w:tcPr>
                <w:p w14:paraId="116E71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HK165+000</w:t>
                  </w:r>
                </w:p>
              </w:tc>
              <w:tc>
                <w:tcPr>
                  <w:tcW w:w="571" w:type="pct"/>
                  <w:tcBorders>
                    <w:tl2br w:val="nil"/>
                    <w:tr2bl w:val="nil"/>
                  </w:tcBorders>
                  <w:vAlign w:val="center"/>
                </w:tcPr>
                <w:p w14:paraId="4F2A4C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7.68</w:t>
                  </w:r>
                </w:p>
              </w:tc>
              <w:tc>
                <w:tcPr>
                  <w:tcW w:w="964" w:type="pct"/>
                  <w:tcBorders>
                    <w:tl2br w:val="nil"/>
                    <w:tr2bl w:val="nil"/>
                  </w:tcBorders>
                  <w:vAlign w:val="center"/>
                </w:tcPr>
                <w:p w14:paraId="7103DC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王家湾隧道及沿线路基</w:t>
                  </w:r>
                </w:p>
              </w:tc>
              <w:tc>
                <w:tcPr>
                  <w:tcW w:w="677" w:type="pct"/>
                  <w:tcBorders>
                    <w:tl2br w:val="nil"/>
                    <w:tr2bl w:val="nil"/>
                  </w:tcBorders>
                  <w:vAlign w:val="center"/>
                </w:tcPr>
                <w:p w14:paraId="7CB735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bidi="ar"/>
                      <w14:textFill>
                        <w14:solidFill>
                          <w14:schemeClr w14:val="tx1"/>
                        </w14:solidFill>
                      </w14:textFill>
                    </w:rPr>
                  </w:pPr>
                  <w:r>
                    <w:rPr>
                      <w:rFonts w:hint="eastAsia" w:ascii="Times New Roman" w:hAnsi="Times New Roman" w:eastAsia="宋体"/>
                      <w:b w:val="0"/>
                      <w:bCs w:val="0"/>
                      <w:color w:val="000000" w:themeColor="text1"/>
                      <w:szCs w:val="21"/>
                      <w:highlight w:val="none"/>
                      <w:lang w:bidi="ar"/>
                      <w14:textFill>
                        <w14:solidFill>
                          <w14:schemeClr w14:val="tx1"/>
                        </w14:solidFill>
                      </w14:textFill>
                    </w:rPr>
                    <w:t>布设冷热拌和场</w:t>
                  </w:r>
                </w:p>
              </w:tc>
              <w:tc>
                <w:tcPr>
                  <w:tcW w:w="699" w:type="pct"/>
                  <w:vMerge w:val="continue"/>
                  <w:tcBorders>
                    <w:tl2br w:val="nil"/>
                    <w:tr2bl w:val="nil"/>
                  </w:tcBorders>
                  <w:vAlign w:val="center"/>
                </w:tcPr>
                <w:p w14:paraId="76A4E4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7B2238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bl>
          <w:p w14:paraId="73404C84">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根据上表分析可知，本项目建设</w:t>
            </w:r>
            <w:r>
              <w:rPr>
                <w:rFonts w:hint="eastAsia" w:eastAsia="宋体"/>
                <w:color w:val="000000" w:themeColor="text1"/>
                <w:kern w:val="2"/>
                <w:highlight w:val="none"/>
                <w:lang w:val="en-US" w:eastAsia="zh-CN"/>
                <w14:textFill>
                  <w14:solidFill>
                    <w14:schemeClr w14:val="tx1"/>
                  </w14:solidFill>
                </w14:textFill>
              </w:rPr>
              <w:t>拌和场</w:t>
            </w:r>
            <w:r>
              <w:rPr>
                <w:rFonts w:hint="eastAsia" w:eastAsia="宋体"/>
                <w:color w:val="000000" w:themeColor="text1"/>
                <w:kern w:val="2"/>
                <w:highlight w:val="none"/>
                <w:lang w:eastAsia="zh-CN"/>
                <w14:textFill>
                  <w14:solidFill>
                    <w14:schemeClr w14:val="tx1"/>
                  </w14:solidFill>
                </w14:textFill>
              </w:rPr>
              <w:t>不属于</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《G42线南充至成都段高速公路扩容工程环境影响报告书》中评价的</w:t>
            </w:r>
            <w:r>
              <w:rPr>
                <w:rFonts w:hint="eastAsia" w:eastAsia="宋体"/>
                <w:color w:val="000000" w:themeColor="text1"/>
                <w:kern w:val="2"/>
                <w:highlight w:val="none"/>
                <w:lang w:val="en-US" w:eastAsia="zh-CN"/>
                <w14:textFill>
                  <w14:solidFill>
                    <w14:schemeClr w14:val="tx1"/>
                  </w14:solidFill>
                </w14:textFill>
              </w:rPr>
              <w:t>拌和场</w:t>
            </w:r>
            <w:r>
              <w:rPr>
                <w:rFonts w:hint="eastAsia" w:eastAsia="宋体"/>
                <w:b w:val="0"/>
                <w:bCs w:val="0"/>
                <w:color w:val="000000" w:themeColor="text1"/>
                <w:kern w:val="2"/>
                <w:highlight w:val="none"/>
                <w:lang w:eastAsia="zh-CN"/>
                <w14:textFill>
                  <w14:solidFill>
                    <w14:schemeClr w14:val="tx1"/>
                  </w14:solidFill>
                </w14:textFill>
              </w:rPr>
              <w:t>。</w:t>
            </w:r>
          </w:p>
          <w:p w14:paraId="3C120673">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综上分析，本项目位于成南主体工程桩号</w:t>
            </w:r>
            <w:r>
              <w:rPr>
                <w:rFonts w:hint="eastAsia" w:eastAsia="宋体"/>
                <w:color w:val="000000" w:themeColor="text1"/>
                <w:kern w:val="2"/>
                <w:highlight w:val="none"/>
                <w:lang w:val="en-US" w:eastAsia="zh-CN"/>
                <w14:textFill>
                  <w14:solidFill>
                    <w14:schemeClr w14:val="tx1"/>
                  </w14:solidFill>
                </w14:textFill>
              </w:rPr>
              <w:t>K183处，不属于</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《G42线南充至成都段高速公路扩容工程环境影响报告书》中评价的预制场。</w:t>
            </w:r>
          </w:p>
          <w:p w14:paraId="11CA8A19">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bCs/>
                <w:color w:val="000000" w:themeColor="text1"/>
                <w:kern w:val="2"/>
                <w:highlight w:val="none"/>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十</w:t>
            </w:r>
            <w:r>
              <w:rPr>
                <w:rFonts w:hint="eastAsia" w:eastAsia="宋体"/>
                <w:b/>
                <w:bCs/>
                <w:color w:val="000000" w:themeColor="text1"/>
                <w:kern w:val="2"/>
                <w:highlight w:val="none"/>
                <w14:textFill>
                  <w14:solidFill>
                    <w14:schemeClr w14:val="tx1"/>
                  </w14:solidFill>
                </w14:textFill>
              </w:rPr>
              <w:t>、项目外环境及选址合理性分析</w:t>
            </w:r>
          </w:p>
          <w:p w14:paraId="24849BE2">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（一）外环境关系</w:t>
            </w:r>
          </w:p>
          <w:p w14:paraId="6E71B7BF">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本项目位于</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蓬溪县大石镇偏马村一社</w:t>
            </w:r>
            <w:r>
              <w:rPr>
                <w:rFonts w:hint="eastAsia" w:eastAsia="宋体"/>
                <w:bCs/>
                <w:color w:val="000000" w:themeColor="text1"/>
                <w:highlight w:val="none"/>
                <w14:textFill>
                  <w14:solidFill>
                    <w14:schemeClr w14:val="tx1"/>
                  </w14:solidFill>
                </w14:textFill>
              </w:rPr>
              <w:t>，项目外环境关系如下</w:t>
            </w:r>
            <w:r>
              <w:rPr>
                <w:rFonts w:hint="eastAsia" w:eastAsia="宋体"/>
                <w:bCs/>
                <w:color w:val="000000" w:themeColor="text1"/>
                <w:highlight w:val="none"/>
                <w:lang w:eastAsia="zh-CN"/>
                <w14:textFill>
                  <w14:solidFill>
                    <w14:schemeClr w14:val="tx1"/>
                  </w14:solidFill>
                </w14:textFill>
              </w:rPr>
              <w:t>：</w:t>
            </w:r>
          </w:p>
          <w:p w14:paraId="1E8D0709">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东侧：距离</w:t>
            </w:r>
            <w:r>
              <w:rPr>
                <w:rFonts w:hint="eastAsia" w:eastAsia="宋体"/>
                <w:color w:val="000000" w:themeColor="text1"/>
                <w:kern w:val="2"/>
                <w:highlight w:val="none"/>
                <w:lang w:val="en-US" w:eastAsia="zh-CN"/>
                <w14:textFill>
                  <w14:solidFill>
                    <w14:schemeClr w14:val="tx1"/>
                  </w14:solidFill>
                </w14:textFill>
              </w:rPr>
              <w:t>14m处</w:t>
            </w:r>
            <w:r>
              <w:rPr>
                <w:rFonts w:hint="eastAsia" w:eastAsia="宋体"/>
                <w:color w:val="000000" w:themeColor="text1"/>
                <w:kern w:val="2"/>
                <w:highlight w:val="none"/>
                <w14:textFill>
                  <w14:solidFill>
                    <w14:schemeClr w14:val="tx1"/>
                  </w14:solidFill>
                </w14:textFill>
              </w:rPr>
              <w:t>为</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，共约</w:t>
            </w:r>
            <w:r>
              <w:rPr>
                <w:rFonts w:hint="eastAsia" w:eastAsia="宋体"/>
                <w:color w:val="000000" w:themeColor="text1"/>
                <w:kern w:val="2"/>
                <w:highlight w:val="none"/>
                <w:lang w:val="en-US" w:eastAsia="zh-CN"/>
                <w14:textFill>
                  <w14:solidFill>
                    <w14:schemeClr w14:val="tx1"/>
                  </w14:solidFill>
                </w14:textFill>
              </w:rPr>
              <w:t>36人；</w:t>
            </w:r>
            <w:r>
              <w:rPr>
                <w:rFonts w:hint="eastAsia" w:eastAsia="宋体"/>
                <w:color w:val="000000" w:themeColor="text1"/>
                <w:kern w:val="2"/>
                <w:highlight w:val="none"/>
                <w:lang w:eastAsia="zh-CN"/>
                <w14:textFill>
                  <w14:solidFill>
                    <w14:schemeClr w14:val="tx1"/>
                  </w14:solidFill>
                </w14:textFill>
              </w:rPr>
              <w:t>距离</w:t>
            </w:r>
            <w:r>
              <w:rPr>
                <w:rFonts w:hint="eastAsia" w:eastAsia="宋体"/>
                <w:color w:val="000000" w:themeColor="text1"/>
                <w:kern w:val="2"/>
                <w:highlight w:val="none"/>
                <w:lang w:val="en-US" w:eastAsia="zh-CN"/>
                <w14:textFill>
                  <w14:solidFill>
                    <w14:schemeClr w14:val="tx1"/>
                  </w14:solidFill>
                </w14:textFill>
              </w:rPr>
              <w:t>85m~500m范围内为大石镇住户，</w:t>
            </w:r>
            <w:r>
              <w:rPr>
                <w:rFonts w:hint="eastAsia" w:eastAsia="宋体"/>
                <w:color w:val="000000" w:themeColor="text1"/>
                <w:kern w:val="2"/>
                <w:highlight w:val="none"/>
                <w:lang w:eastAsia="zh-CN"/>
                <w14:textFill>
                  <w14:solidFill>
                    <w14:schemeClr w14:val="tx1"/>
                  </w14:solidFill>
                </w14:textFill>
              </w:rPr>
              <w:t>共约</w:t>
            </w:r>
            <w:r>
              <w:rPr>
                <w:rFonts w:hint="eastAsia" w:eastAsia="宋体"/>
                <w:color w:val="000000" w:themeColor="text1"/>
                <w:kern w:val="2"/>
                <w:highlight w:val="none"/>
                <w:lang w:val="en-US" w:eastAsia="zh-CN"/>
                <w14:textFill>
                  <w14:solidFill>
                    <w14:schemeClr w14:val="tx1"/>
                  </w14:solidFill>
                </w14:textFill>
              </w:rPr>
              <w:t>1500人</w:t>
            </w:r>
            <w:r>
              <w:rPr>
                <w:rFonts w:hint="eastAsia" w:eastAsia="宋体"/>
                <w:color w:val="000000" w:themeColor="text1"/>
                <w:kern w:val="2"/>
                <w:highlight w:val="none"/>
                <w14:textFill>
                  <w14:solidFill>
                    <w14:schemeClr w14:val="tx1"/>
                  </w14:solidFill>
                </w14:textFill>
              </w:rPr>
              <w:t>；</w:t>
            </w:r>
          </w:p>
          <w:p w14:paraId="614DC70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东</w:t>
            </w:r>
            <w:r>
              <w:rPr>
                <w:rFonts w:hint="eastAsia" w:eastAsia="宋体"/>
                <w:color w:val="000000" w:themeColor="text1"/>
                <w:kern w:val="2"/>
                <w:highlight w:val="none"/>
                <w14:textFill>
                  <w14:solidFill>
                    <w14:schemeClr w14:val="tx1"/>
                  </w14:solidFill>
                </w14:textFill>
              </w:rPr>
              <w:t>南侧：距离</w:t>
            </w:r>
            <w:r>
              <w:rPr>
                <w:rFonts w:hint="eastAsia" w:eastAsia="宋体"/>
                <w:color w:val="000000" w:themeColor="text1"/>
                <w:kern w:val="2"/>
                <w:highlight w:val="none"/>
                <w:lang w:val="en-US" w:eastAsia="zh-CN"/>
                <w14:textFill>
                  <w14:solidFill>
                    <w14:schemeClr w14:val="tx1"/>
                  </w14:solidFill>
                </w14:textFill>
              </w:rPr>
              <w:t>366</w:t>
            </w:r>
            <w:r>
              <w:rPr>
                <w:rFonts w:hint="eastAsia" w:eastAsia="宋体"/>
                <w:color w:val="000000" w:themeColor="text1"/>
                <w:kern w:val="2"/>
                <w:highlight w:val="none"/>
                <w14:textFill>
                  <w14:solidFill>
                    <w14:schemeClr w14:val="tx1"/>
                  </w14:solidFill>
                </w14:textFill>
              </w:rPr>
              <w:t>m处为</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w:t>
            </w:r>
            <w:r>
              <w:rPr>
                <w:rFonts w:hint="eastAsia" w:eastAsia="宋体"/>
                <w:color w:val="000000" w:themeColor="text1"/>
                <w:kern w:val="2"/>
                <w:highlight w:val="none"/>
                <w:lang w:val="en-US" w:eastAsia="zh-CN"/>
                <w14:textFill>
                  <w14:solidFill>
                    <w14:schemeClr w14:val="tx1"/>
                  </w14:solidFill>
                </w14:textFill>
              </w:rPr>
              <w:t>500m范围内</w:t>
            </w:r>
            <w:r>
              <w:rPr>
                <w:rFonts w:hint="eastAsia" w:eastAsia="宋体"/>
                <w:color w:val="000000" w:themeColor="text1"/>
                <w:kern w:val="2"/>
                <w:highlight w:val="none"/>
                <w:lang w:eastAsia="zh-CN"/>
                <w14:textFill>
                  <w14:solidFill>
                    <w14:schemeClr w14:val="tx1"/>
                  </w14:solidFill>
                </w14:textFill>
              </w:rPr>
              <w:t>居民约有</w:t>
            </w:r>
            <w:r>
              <w:rPr>
                <w:rFonts w:hint="eastAsia" w:eastAsia="宋体"/>
                <w:color w:val="000000" w:themeColor="text1"/>
                <w:kern w:val="2"/>
                <w:highlight w:val="none"/>
                <w:lang w:val="en-US" w:eastAsia="zh-CN"/>
                <w14:textFill>
                  <w14:solidFill>
                    <w14:schemeClr w14:val="tx1"/>
                  </w14:solidFill>
                </w14:textFill>
              </w:rPr>
              <w:t>40人</w:t>
            </w:r>
            <w:r>
              <w:rPr>
                <w:rFonts w:hint="eastAsia" w:eastAsia="宋体"/>
                <w:color w:val="000000" w:themeColor="text1"/>
                <w:kern w:val="2"/>
                <w:highlight w:val="none"/>
                <w14:textFill>
                  <w14:solidFill>
                    <w14:schemeClr w14:val="tx1"/>
                  </w14:solidFill>
                </w14:textFill>
              </w:rPr>
              <w:t>；</w:t>
            </w:r>
          </w:p>
          <w:p w14:paraId="7303CD5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南</w:t>
            </w:r>
            <w:r>
              <w:rPr>
                <w:rFonts w:hint="eastAsia" w:eastAsia="宋体"/>
                <w:color w:val="000000" w:themeColor="text1"/>
                <w:kern w:val="2"/>
                <w:highlight w:val="none"/>
                <w14:textFill>
                  <w14:solidFill>
                    <w14:schemeClr w14:val="tx1"/>
                  </w14:solidFill>
                </w14:textFill>
              </w:rPr>
              <w:t>侧：</w:t>
            </w:r>
            <w:r>
              <w:rPr>
                <w:rFonts w:hint="eastAsia" w:eastAsia="宋体"/>
                <w:color w:val="000000" w:themeColor="text1"/>
                <w:kern w:val="2"/>
                <w:highlight w:val="none"/>
                <w:lang w:eastAsia="zh-CN"/>
                <w14:textFill>
                  <w14:solidFill>
                    <w14:schemeClr w14:val="tx1"/>
                  </w14:solidFill>
                </w14:textFill>
              </w:rPr>
              <w:t>厂界外</w:t>
            </w:r>
            <w:r>
              <w:rPr>
                <w:rFonts w:hint="eastAsia" w:eastAsia="宋体"/>
                <w:color w:val="000000" w:themeColor="text1"/>
                <w:kern w:val="2"/>
                <w:highlight w:val="none"/>
                <w:lang w:val="en-US" w:eastAsia="zh-CN"/>
                <w14:textFill>
                  <w14:solidFill>
                    <w14:schemeClr w14:val="tx1"/>
                  </w14:solidFill>
                </w14:textFill>
              </w:rPr>
              <w:t>5m</w:t>
            </w:r>
            <w:r>
              <w:rPr>
                <w:rFonts w:hint="eastAsia" w:eastAsia="宋体"/>
                <w:color w:val="000000" w:themeColor="text1"/>
                <w:kern w:val="2"/>
                <w:highlight w:val="none"/>
                <w14:textFill>
                  <w14:solidFill>
                    <w14:schemeClr w14:val="tx1"/>
                  </w14:solidFill>
                </w14:textFill>
              </w:rPr>
              <w:t>处为</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，共</w:t>
            </w:r>
            <w:r>
              <w:rPr>
                <w:rFonts w:hint="eastAsia" w:eastAsia="宋体"/>
                <w:color w:val="000000" w:themeColor="text1"/>
                <w:kern w:val="2"/>
                <w:highlight w:val="none"/>
                <w:lang w:val="en-US" w:eastAsia="zh-CN"/>
                <w14:textFill>
                  <w14:solidFill>
                    <w14:schemeClr w14:val="tx1"/>
                  </w14:solidFill>
                </w14:textFill>
              </w:rPr>
              <w:t>6人，8m~500m范围内共有</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约</w:t>
            </w:r>
            <w:r>
              <w:rPr>
                <w:rFonts w:hint="eastAsia" w:eastAsia="宋体"/>
                <w:color w:val="000000" w:themeColor="text1"/>
                <w:kern w:val="2"/>
                <w:highlight w:val="none"/>
                <w:lang w:val="en-US" w:eastAsia="zh-CN"/>
                <w14:textFill>
                  <w14:solidFill>
                    <w14:schemeClr w14:val="tx1"/>
                  </w14:solidFill>
                </w14:textFill>
              </w:rPr>
              <w:t>260人</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val="en-US" w:eastAsia="zh-CN"/>
                <w14:textFill>
                  <w14:solidFill>
                    <w14:schemeClr w14:val="tx1"/>
                  </w14:solidFill>
                </w14:textFill>
              </w:rPr>
              <w:t>203m处为小潼河；</w:t>
            </w:r>
          </w:p>
          <w:p w14:paraId="41738723">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西南</w:t>
            </w:r>
            <w:r>
              <w:rPr>
                <w:rFonts w:hint="eastAsia" w:eastAsia="宋体"/>
                <w:color w:val="000000" w:themeColor="text1"/>
                <w:kern w:val="2"/>
                <w:highlight w:val="none"/>
                <w14:textFill>
                  <w14:solidFill>
                    <w14:schemeClr w14:val="tx1"/>
                  </w14:solidFill>
                </w14:textFill>
              </w:rPr>
              <w:t>侧：距离约</w:t>
            </w:r>
            <w:r>
              <w:rPr>
                <w:rFonts w:hint="eastAsia" w:eastAsia="宋体"/>
                <w:color w:val="000000" w:themeColor="text1"/>
                <w:kern w:val="2"/>
                <w:highlight w:val="none"/>
                <w:lang w:val="en-US" w:eastAsia="zh-CN"/>
                <w14:textFill>
                  <w14:solidFill>
                    <w14:schemeClr w14:val="tx1"/>
                  </w14:solidFill>
                </w14:textFill>
              </w:rPr>
              <w:t>30</w:t>
            </w:r>
            <w:r>
              <w:rPr>
                <w:rFonts w:hint="eastAsia" w:eastAsia="宋体"/>
                <w:color w:val="000000" w:themeColor="text1"/>
                <w:kern w:val="2"/>
                <w:highlight w:val="none"/>
                <w14:textFill>
                  <w14:solidFill>
                    <w14:schemeClr w14:val="tx1"/>
                  </w14:solidFill>
                </w14:textFill>
              </w:rPr>
              <w:t>m处为</w:t>
            </w:r>
            <w:r>
              <w:rPr>
                <w:rFonts w:hint="eastAsia" w:eastAsia="宋体"/>
                <w:color w:val="000000" w:themeColor="text1"/>
                <w:kern w:val="2"/>
                <w:highlight w:val="none"/>
                <w:lang w:eastAsia="zh-CN"/>
                <w14:textFill>
                  <w14:solidFill>
                    <w14:schemeClr w14:val="tx1"/>
                  </w14:solidFill>
                </w14:textFill>
              </w:rPr>
              <w:t>通祥家园，约</w:t>
            </w:r>
            <w:r>
              <w:rPr>
                <w:rFonts w:hint="eastAsia" w:eastAsia="宋体"/>
                <w:color w:val="000000" w:themeColor="text1"/>
                <w:kern w:val="2"/>
                <w:highlight w:val="none"/>
                <w:lang w:val="en-US" w:eastAsia="zh-CN"/>
                <w14:textFill>
                  <w14:solidFill>
                    <w14:schemeClr w14:val="tx1"/>
                  </w14:solidFill>
                </w14:textFill>
              </w:rPr>
              <w:t>300人</w:t>
            </w:r>
            <w:r>
              <w:rPr>
                <w:rFonts w:hint="eastAsia" w:eastAsia="宋体"/>
                <w:color w:val="000000" w:themeColor="text1"/>
                <w:kern w:val="2"/>
                <w:highlight w:val="none"/>
                <w:lang w:eastAsia="zh-CN"/>
                <w14:textFill>
                  <w14:solidFill>
                    <w14:schemeClr w14:val="tx1"/>
                  </w14:solidFill>
                </w14:textFill>
              </w:rPr>
              <w:t>；</w:t>
            </w:r>
            <w:r>
              <w:rPr>
                <w:rFonts w:hint="eastAsia" w:eastAsia="宋体"/>
                <w:color w:val="000000" w:themeColor="text1"/>
                <w:kern w:val="2"/>
                <w:highlight w:val="none"/>
                <w:lang w:val="en-US" w:eastAsia="zh-CN"/>
                <w14:textFill>
                  <w14:solidFill>
                    <w14:schemeClr w14:val="tx1"/>
                  </w14:solidFill>
                </w14:textFill>
              </w:rPr>
              <w:t>114m~500m范围内共有</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约</w:t>
            </w:r>
            <w:r>
              <w:rPr>
                <w:rFonts w:hint="eastAsia" w:eastAsia="宋体"/>
                <w:color w:val="000000" w:themeColor="text1"/>
                <w:kern w:val="2"/>
                <w:highlight w:val="none"/>
                <w:lang w:val="en-US" w:eastAsia="zh-CN"/>
                <w14:textFill>
                  <w14:solidFill>
                    <w14:schemeClr w14:val="tx1"/>
                  </w14:solidFill>
                </w14:textFill>
              </w:rPr>
              <w:t>100人</w:t>
            </w:r>
            <w:r>
              <w:rPr>
                <w:rFonts w:hint="eastAsia" w:eastAsia="宋体"/>
                <w:color w:val="000000" w:themeColor="text1"/>
                <w:kern w:val="2"/>
                <w:highlight w:val="none"/>
                <w14:textFill>
                  <w14:solidFill>
                    <w14:schemeClr w14:val="tx1"/>
                  </w14:solidFill>
                </w14:textFill>
              </w:rPr>
              <w:t>；</w:t>
            </w:r>
          </w:p>
          <w:p w14:paraId="7ED65140">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西</w:t>
            </w:r>
            <w:r>
              <w:rPr>
                <w:rFonts w:hint="eastAsia" w:eastAsia="宋体"/>
                <w:color w:val="000000" w:themeColor="text1"/>
                <w:kern w:val="2"/>
                <w:highlight w:val="none"/>
                <w14:textFill>
                  <w14:solidFill>
                    <w14:schemeClr w14:val="tx1"/>
                  </w14:solidFill>
                </w14:textFill>
              </w:rPr>
              <w:t>侧：距离</w:t>
            </w:r>
            <w:r>
              <w:rPr>
                <w:rFonts w:hint="eastAsia" w:eastAsia="宋体"/>
                <w:color w:val="000000" w:themeColor="text1"/>
                <w:kern w:val="2"/>
                <w:highlight w:val="none"/>
                <w:lang w:val="en-US" w:eastAsia="zh-CN"/>
                <w14:textFill>
                  <w14:solidFill>
                    <w14:schemeClr w14:val="tx1"/>
                  </w14:solidFill>
                </w14:textFill>
              </w:rPr>
              <w:t>445m~500m范围内共有</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约</w:t>
            </w:r>
            <w:r>
              <w:rPr>
                <w:rFonts w:hint="eastAsia" w:eastAsia="宋体"/>
                <w:color w:val="000000" w:themeColor="text1"/>
                <w:kern w:val="2"/>
                <w:highlight w:val="none"/>
                <w:lang w:val="en-US" w:eastAsia="zh-CN"/>
                <w14:textFill>
                  <w14:solidFill>
                    <w14:schemeClr w14:val="tx1"/>
                  </w14:solidFill>
                </w14:textFill>
              </w:rPr>
              <w:t>15人</w:t>
            </w:r>
            <w:r>
              <w:rPr>
                <w:rFonts w:hint="eastAsia" w:eastAsia="宋体"/>
                <w:color w:val="000000" w:themeColor="text1"/>
                <w:kern w:val="2"/>
                <w:highlight w:val="none"/>
                <w:lang w:eastAsia="zh-CN"/>
                <w14:textFill>
                  <w14:solidFill>
                    <w14:schemeClr w14:val="tx1"/>
                  </w14:solidFill>
                </w14:textFill>
              </w:rPr>
              <w:t>；</w:t>
            </w:r>
          </w:p>
          <w:p w14:paraId="56E714E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北侧：</w:t>
            </w:r>
            <w:r>
              <w:rPr>
                <w:rFonts w:hint="eastAsia" w:eastAsia="宋体"/>
                <w:color w:val="000000" w:themeColor="text1"/>
                <w:kern w:val="2"/>
                <w:highlight w:val="none"/>
                <w:lang w:val="en-US" w:eastAsia="zh-CN"/>
                <w14:textFill>
                  <w14:solidFill>
                    <w14:schemeClr w14:val="tx1"/>
                  </w14:solidFill>
                </w14:textFill>
              </w:rPr>
              <w:t>154</w:t>
            </w:r>
            <w:r>
              <w:rPr>
                <w:rFonts w:hint="eastAsia" w:eastAsia="宋体"/>
                <w:color w:val="000000" w:themeColor="text1"/>
                <w:kern w:val="2"/>
                <w:highlight w:val="none"/>
                <w14:textFill>
                  <w14:solidFill>
                    <w14:schemeClr w14:val="tx1"/>
                  </w14:solidFill>
                </w14:textFill>
              </w:rPr>
              <w:t>m</w:t>
            </w:r>
            <w:r>
              <w:rPr>
                <w:rFonts w:hint="eastAsia" w:eastAsia="宋体"/>
                <w:color w:val="000000" w:themeColor="text1"/>
                <w:kern w:val="2"/>
                <w:highlight w:val="none"/>
                <w:lang w:val="en-US" w:eastAsia="zh-CN"/>
                <w14:textFill>
                  <w14:solidFill>
                    <w14:schemeClr w14:val="tx1"/>
                  </w14:solidFill>
                </w14:textFill>
              </w:rPr>
              <w:t>~500m范围内</w:t>
            </w:r>
            <w:r>
              <w:rPr>
                <w:rFonts w:hint="eastAsia" w:eastAsia="宋体"/>
                <w:color w:val="000000" w:themeColor="text1"/>
                <w:kern w:val="2"/>
                <w:highlight w:val="none"/>
                <w14:textFill>
                  <w14:solidFill>
                    <w14:schemeClr w14:val="tx1"/>
                  </w14:solidFill>
                </w14:textFill>
              </w:rPr>
              <w:t>为</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约有</w:t>
            </w:r>
            <w:r>
              <w:rPr>
                <w:rFonts w:hint="eastAsia" w:eastAsia="宋体"/>
                <w:color w:val="000000" w:themeColor="text1"/>
                <w:kern w:val="2"/>
                <w:highlight w:val="none"/>
                <w:lang w:val="en-US" w:eastAsia="zh-CN"/>
                <w14:textFill>
                  <w14:solidFill>
                    <w14:schemeClr w14:val="tx1"/>
                  </w14:solidFill>
                </w14:textFill>
              </w:rPr>
              <w:t>100人。</w:t>
            </w:r>
          </w:p>
          <w:p w14:paraId="617552E9">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（二）外环境相容</w:t>
            </w:r>
            <w:r>
              <w:rPr>
                <w:rFonts w:hint="eastAsia" w:eastAsia="宋体"/>
                <w:color w:val="000000" w:themeColor="text1"/>
                <w:kern w:val="2"/>
                <w:highlight w:val="none"/>
                <w:lang w:eastAsia="zh-CN"/>
                <w14:textFill>
                  <w14:solidFill>
                    <w14:schemeClr w14:val="tx1"/>
                  </w14:solidFill>
                </w14:textFill>
              </w:rPr>
              <w:t>及选址合理</w:t>
            </w:r>
            <w:r>
              <w:rPr>
                <w:rFonts w:hint="eastAsia" w:eastAsia="宋体"/>
                <w:color w:val="000000" w:themeColor="text1"/>
                <w:kern w:val="2"/>
                <w:highlight w:val="none"/>
                <w14:textFill>
                  <w14:solidFill>
                    <w14:schemeClr w14:val="tx1"/>
                  </w14:solidFill>
                </w14:textFill>
              </w:rPr>
              <w:t>性分析</w:t>
            </w:r>
          </w:p>
          <w:p w14:paraId="7C2E551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外环境对本项目的影响：本项目为</w:t>
            </w:r>
            <w:r>
              <w:rPr>
                <w:rFonts w:hint="eastAsia" w:eastAsia="宋体"/>
                <w:color w:val="000000" w:themeColor="text1"/>
                <w:kern w:val="2"/>
                <w:highlight w:val="none"/>
                <w:lang w:eastAsia="zh-CN"/>
                <w14:textFill>
                  <w14:solidFill>
                    <w14:schemeClr w14:val="tx1"/>
                  </w14:solidFill>
                </w14:textFill>
              </w:rPr>
              <w:t>南充至成都高速公路扩容工程LJ5标段4#站</w:t>
            </w:r>
            <w:r>
              <w:rPr>
                <w:rFonts w:hint="eastAsia" w:eastAsia="宋体"/>
                <w:color w:val="000000" w:themeColor="text1"/>
                <w:kern w:val="2"/>
                <w:highlight w:val="none"/>
                <w14:textFill>
                  <w14:solidFill>
                    <w14:schemeClr w14:val="tx1"/>
                  </w14:solidFill>
                </w14:textFill>
              </w:rPr>
              <w:t>项目，对周边环境无特殊要求；本项目周边主要为</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偏马村</w:t>
            </w:r>
            <w:r>
              <w:rPr>
                <w:rFonts w:hint="eastAsia" w:eastAsia="宋体"/>
                <w:color w:val="000000" w:themeColor="text1"/>
                <w:kern w:val="2"/>
                <w:highlight w:val="none"/>
                <w14:textFill>
                  <w14:solidFill>
                    <w14:schemeClr w14:val="tx1"/>
                  </w14:solidFill>
                </w14:textFill>
              </w:rPr>
              <w:t>居民，对本项目无影响，外环境与本项目相容。</w:t>
            </w:r>
          </w:p>
          <w:p w14:paraId="06F5EC6E">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sz w:val="24"/>
                <w:szCs w:val="24"/>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本项目对外环境的影响：</w:t>
            </w:r>
            <w:r>
              <w:rPr>
                <w:rFonts w:hint="eastAsia" w:ascii="Times New Roman" w:hAnsi="Times New Roman" w:eastAsia="宋体"/>
                <w:color w:val="000000" w:themeColor="text1"/>
                <w:sz w:val="24"/>
                <w:szCs w:val="21"/>
                <w:highlight w:val="none"/>
                <w:lang w:eastAsia="zh-CN"/>
                <w14:textFill>
                  <w14:solidFill>
                    <w14:schemeClr w14:val="tx1"/>
                  </w14:solidFill>
                </w14:textFill>
              </w:rPr>
              <w:t>项目距离最近的敏感点位于南侧</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5m处偏马村住户</w:t>
            </w:r>
            <w:r>
              <w:rPr>
                <w:rFonts w:hint="eastAsia" w:ascii="Times New Roman" w:hAnsi="Times New Roman" w:eastAsia="宋体"/>
                <w:color w:val="000000" w:themeColor="text1"/>
                <w:sz w:val="24"/>
                <w:szCs w:val="21"/>
                <w:highlight w:val="none"/>
                <w:lang w:eastAsia="zh-CN"/>
                <w14:textFill>
                  <w14:solidFill>
                    <w14:schemeClr w14:val="tx1"/>
                  </w14:solidFill>
                </w14:textFill>
              </w:rPr>
              <w:t>，项目所有生产活动均在密闭厂房内进行，</w:t>
            </w:r>
            <w:r>
              <w:rPr>
                <w:rFonts w:hint="eastAsia" w:eastAsia="宋体"/>
                <w:color w:val="000000" w:themeColor="text1"/>
                <w:kern w:val="2"/>
                <w:sz w:val="24"/>
                <w:szCs w:val="24"/>
                <w:highlight w:val="none"/>
                <w14:textFill>
                  <w14:solidFill>
                    <w14:schemeClr w14:val="tx1"/>
                  </w14:solidFill>
                </w14:textFill>
              </w:rPr>
              <w:t>营运期废气为粉尘，粉尘采取密闭搅拌楼、安装除尘器、封闭料场，增加淋洒设施、加强物料运输和装卸管理、实施文明装卸、加强绿化等措施，平时加强厂区内的清扫工作，并且对厂区道路和堆料场定时洒水，同时建立健全科学的操作规程和制度。</w:t>
            </w:r>
            <w:r>
              <w:rPr>
                <w:rFonts w:hint="eastAsia" w:ascii="Times New Roman" w:hAnsi="Times New Roman" w:eastAsia="宋体"/>
                <w:color w:val="000000" w:themeColor="text1"/>
                <w:sz w:val="24"/>
                <w:szCs w:val="24"/>
                <w:highlight w:val="none"/>
                <w:lang w:eastAsia="zh-CN"/>
                <w14:textFill>
                  <w14:solidFill>
                    <w14:schemeClr w14:val="tx1"/>
                  </w14:solidFill>
                </w14:textFill>
              </w:rPr>
              <w:t>项目在厂区周围设置收集沟，并在厂区低洼处设置沉淀池、隔油沉淀池等，生产废水经处理后回用于洒水降尘或</w:t>
            </w:r>
            <w:r>
              <w:rPr>
                <w:rFonts w:hint="eastAsia" w:eastAsia="宋体"/>
                <w:color w:val="000000" w:themeColor="text1"/>
                <w:sz w:val="24"/>
                <w:szCs w:val="24"/>
                <w:highlight w:val="none"/>
                <w:lang w:eastAsia="zh-CN"/>
                <w14:textFill>
                  <w14:solidFill>
                    <w14:schemeClr w14:val="tx1"/>
                  </w14:solidFill>
                </w14:textFill>
              </w:rPr>
              <w:t>清洁</w:t>
            </w:r>
            <w:r>
              <w:rPr>
                <w:rFonts w:hint="eastAsia" w:ascii="Times New Roman" w:hAnsi="Times New Roman" w:eastAsia="宋体"/>
                <w:color w:val="000000" w:themeColor="text1"/>
                <w:sz w:val="24"/>
                <w:szCs w:val="24"/>
                <w:highlight w:val="none"/>
                <w:lang w:eastAsia="zh-CN"/>
                <w14:textFill>
                  <w14:solidFill>
                    <w14:schemeClr w14:val="tx1"/>
                  </w14:solidFill>
                </w14:textFill>
              </w:rPr>
              <w:t>用水</w:t>
            </w:r>
            <w:r>
              <w:rPr>
                <w:rFonts w:hint="eastAsia" w:eastAsia="宋体"/>
                <w:color w:val="000000" w:themeColor="text1"/>
                <w:sz w:val="24"/>
                <w:szCs w:val="24"/>
                <w:highlight w:val="none"/>
                <w:lang w:eastAsia="zh-CN"/>
                <w14:textFill>
                  <w14:solidFill>
                    <w14:schemeClr w14:val="tx1"/>
                  </w14:solidFill>
                </w14:textFill>
              </w:rPr>
              <w:t>，初期雨水经雨水收集池收集后回用于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洒水降尘或</w:t>
            </w:r>
            <w:r>
              <w:rPr>
                <w:rFonts w:hint="eastAsia" w:eastAsia="宋体"/>
                <w:color w:val="000000" w:themeColor="text1"/>
                <w:sz w:val="24"/>
                <w:szCs w:val="24"/>
                <w:highlight w:val="none"/>
                <w:lang w:eastAsia="zh-CN"/>
                <w14:textFill>
                  <w14:solidFill>
                    <w14:schemeClr w14:val="tx1"/>
                  </w14:solidFill>
                </w14:textFill>
              </w:rPr>
              <w:t>清洁</w:t>
            </w:r>
            <w:r>
              <w:rPr>
                <w:rFonts w:hint="eastAsia" w:ascii="Times New Roman" w:hAnsi="Times New Roman" w:eastAsia="宋体"/>
                <w:color w:val="000000" w:themeColor="text1"/>
                <w:sz w:val="24"/>
                <w:szCs w:val="24"/>
                <w:highlight w:val="none"/>
                <w:lang w:eastAsia="zh-CN"/>
                <w14:textFill>
                  <w14:solidFill>
                    <w14:schemeClr w14:val="tx1"/>
                  </w14:solidFill>
                </w14:textFill>
              </w:rPr>
              <w:t>用水；生活污水</w:t>
            </w:r>
            <w:r>
              <w:rPr>
                <w:rFonts w:hint="eastAsia" w:eastAsia="宋体"/>
                <w:color w:val="000000" w:themeColor="text1"/>
                <w:sz w:val="24"/>
                <w:szCs w:val="24"/>
                <w:highlight w:val="none"/>
                <w:lang w:eastAsia="zh-CN"/>
                <w14:textFill>
                  <w14:solidFill>
                    <w14:schemeClr w14:val="tx1"/>
                  </w14:solidFill>
                </w14:textFill>
              </w:rPr>
              <w:t>排入市政管网进入宝梵</w:t>
            </w:r>
            <w:r>
              <w:rPr>
                <w:rFonts w:hint="eastAsia" w:ascii="Times New Roman" w:hAnsi="Times New Roman" w:eastAsia="宋体"/>
                <w:color w:val="000000" w:themeColor="text1"/>
                <w:sz w:val="24"/>
                <w:szCs w:val="24"/>
                <w:highlight w:val="none"/>
                <w:lang w:eastAsia="zh-CN"/>
                <w14:textFill>
                  <w14:solidFill>
                    <w14:schemeClr w14:val="tx1"/>
                  </w14:solidFill>
                </w14:textFill>
              </w:rPr>
              <w:t>污水处理厂。</w:t>
            </w:r>
            <w:r>
              <w:rPr>
                <w:rFonts w:hint="eastAsia" w:eastAsia="宋体"/>
                <w:color w:val="000000" w:themeColor="text1"/>
                <w:kern w:val="2"/>
                <w:sz w:val="24"/>
                <w:szCs w:val="24"/>
                <w:highlight w:val="none"/>
                <w14:textFill>
                  <w14:solidFill>
                    <w14:schemeClr w14:val="tx1"/>
                  </w14:solidFill>
                </w14:textFill>
              </w:rPr>
              <w:t>营运期噪声通过</w:t>
            </w:r>
            <w:r>
              <w:rPr>
                <w:rFonts w:hint="eastAsia" w:eastAsia="宋体"/>
                <w:color w:val="000000" w:themeColor="text1"/>
                <w:kern w:val="2"/>
                <w:sz w:val="24"/>
                <w:szCs w:val="24"/>
                <w:highlight w:val="none"/>
                <w:lang w:eastAsia="zh-CN"/>
                <w14:textFill>
                  <w14:solidFill>
                    <w14:schemeClr w14:val="tx1"/>
                  </w14:solidFill>
                </w14:textFill>
              </w:rPr>
              <w:t>围墙及厂房隔声、合理布局，高噪声设备远离东南侧居民，高噪声设备设置基础减震，加强运输管理等措施降低对西侧居民的影响。</w:t>
            </w:r>
            <w:r>
              <w:rPr>
                <w:rFonts w:hint="eastAsia" w:ascii="Times New Roman" w:hAnsi="Times New Roman" w:eastAsia="宋体"/>
                <w:color w:val="000000" w:themeColor="text1"/>
                <w:sz w:val="24"/>
                <w:szCs w:val="24"/>
                <w:highlight w:val="none"/>
                <w:lang w:eastAsia="zh-CN"/>
                <w14:textFill>
                  <w14:solidFill>
                    <w14:schemeClr w14:val="tx1"/>
                  </w14:solidFill>
                </w14:textFill>
              </w:rPr>
              <w:t>固体废物分类收集，有效处置，不会造成二次污染。建设单位严格按照相关污染防治措施后，</w:t>
            </w:r>
            <w:r>
              <w:rPr>
                <w:rFonts w:hint="eastAsia" w:eastAsia="宋体"/>
                <w:color w:val="000000" w:themeColor="text1"/>
                <w:kern w:val="2"/>
                <w:sz w:val="24"/>
                <w:szCs w:val="24"/>
                <w:highlight w:val="none"/>
                <w14:textFill>
                  <w14:solidFill>
                    <w14:schemeClr w14:val="tx1"/>
                  </w14:solidFill>
                </w14:textFill>
              </w:rPr>
              <w:t>本项目</w:t>
            </w:r>
            <w:r>
              <w:rPr>
                <w:rFonts w:hint="eastAsia" w:eastAsia="宋体"/>
                <w:color w:val="000000" w:themeColor="text1"/>
                <w:kern w:val="2"/>
                <w:sz w:val="24"/>
                <w:szCs w:val="24"/>
                <w:highlight w:val="none"/>
                <w:lang w:eastAsia="zh-CN"/>
                <w14:textFill>
                  <w14:solidFill>
                    <w14:schemeClr w14:val="tx1"/>
                  </w14:solidFill>
                </w14:textFill>
              </w:rPr>
              <w:t>污染物均能</w:t>
            </w:r>
            <w:r>
              <w:rPr>
                <w:rFonts w:hint="eastAsia" w:eastAsia="宋体"/>
                <w:color w:val="000000" w:themeColor="text1"/>
                <w:kern w:val="2"/>
                <w:sz w:val="24"/>
                <w:szCs w:val="24"/>
                <w:highlight w:val="none"/>
                <w14:textFill>
                  <w14:solidFill>
                    <w14:schemeClr w14:val="tx1"/>
                  </w14:solidFill>
                </w14:textFill>
              </w:rPr>
              <w:t>实现达标排放，对周边敏感目标影响较小。</w:t>
            </w:r>
          </w:p>
          <w:p w14:paraId="4B798AB3">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sz w:val="24"/>
                <w:szCs w:val="21"/>
                <w:highlight w:val="none"/>
                <w:lang w:eastAsia="zh-CN"/>
                <w14:textFill>
                  <w14:solidFill>
                    <w14:schemeClr w14:val="tx1"/>
                  </w14:solidFill>
                </w14:textFill>
              </w:rPr>
              <w:t>本项目所在区域常年主导风向为东北风，敏感保护目标主要位于拟建厂址东侧及东南侧大石镇场镇住户，下风向敏感保护目标主要为通祥家园住户（距离约</w:t>
            </w:r>
            <w:r>
              <w:rPr>
                <w:rFonts w:hint="eastAsia" w:eastAsia="宋体"/>
                <w:color w:val="000000" w:themeColor="text1"/>
                <w:sz w:val="24"/>
                <w:szCs w:val="21"/>
                <w:highlight w:val="none"/>
                <w:lang w:val="en-US" w:eastAsia="zh-CN"/>
                <w14:textFill>
                  <w14:solidFill>
                    <w14:schemeClr w14:val="tx1"/>
                  </w14:solidFill>
                </w14:textFill>
              </w:rPr>
              <w:t>80m，共300人</w:t>
            </w:r>
            <w:r>
              <w:rPr>
                <w:rFonts w:hint="eastAsia" w:eastAsia="宋体"/>
                <w:color w:val="000000" w:themeColor="text1"/>
                <w:sz w:val="24"/>
                <w:szCs w:val="21"/>
                <w:highlight w:val="none"/>
                <w:lang w:eastAsia="zh-CN"/>
                <w14:textFill>
                  <w14:solidFill>
                    <w14:schemeClr w14:val="tx1"/>
                  </w14:solidFill>
                </w14:textFill>
              </w:rPr>
              <w:t>）、偏马村农户（</w:t>
            </w:r>
            <w:r>
              <w:rPr>
                <w:rFonts w:hint="eastAsia" w:eastAsia="宋体"/>
                <w:color w:val="000000" w:themeColor="text1"/>
                <w:sz w:val="24"/>
                <w:szCs w:val="21"/>
                <w:highlight w:val="none"/>
                <w:lang w:val="en-US" w:eastAsia="zh-CN"/>
                <w14:textFill>
                  <w14:solidFill>
                    <w14:schemeClr w14:val="tx1"/>
                  </w14:solidFill>
                </w14:textFill>
              </w:rPr>
              <w:t>114m，约30人；323m，约70人</w:t>
            </w:r>
            <w:r>
              <w:rPr>
                <w:rFonts w:hint="eastAsia" w:eastAsia="宋体"/>
                <w:color w:val="000000" w:themeColor="text1"/>
                <w:sz w:val="24"/>
                <w:szCs w:val="21"/>
                <w:highlight w:val="none"/>
                <w:lang w:eastAsia="zh-CN"/>
                <w14:textFill>
                  <w14:solidFill>
                    <w14:schemeClr w14:val="tx1"/>
                  </w14:solidFill>
                </w14:textFill>
              </w:rPr>
              <w:t>）</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eastAsia="zh-CN"/>
                <w14:textFill>
                  <w14:solidFill>
                    <w14:schemeClr w14:val="tx1"/>
                  </w14:solidFill>
                </w14:textFill>
              </w:rPr>
              <w:t>本项目选址距离下风向居民点较远，同时在场地布局时，将生产车间及厂房较为集中设置于场地中部，远离周边居民，符合附件6 四川省生态环境厅《关于G42线南充至成都高速公路扩容工程环境影响报告书的批复》（川环审批【2020】29号）中“四、</w:t>
            </w:r>
            <w:r>
              <w:rPr>
                <w:rFonts w:hint="eastAsia" w:eastAsia="宋体"/>
                <w:color w:val="000000" w:themeColor="text1"/>
                <w:kern w:val="2"/>
                <w:highlight w:val="none"/>
                <w:lang w:val="en-US" w:eastAsia="zh-CN"/>
                <w14:textFill>
                  <w14:solidFill>
                    <w14:schemeClr w14:val="tx1"/>
                  </w14:solidFill>
                </w14:textFill>
              </w:rPr>
              <w:t>....混凝土拌和站、沥青拌和站等不得设置在学校、医院、居民点等保护目标的上风向，并尽量远离敏感点</w:t>
            </w:r>
            <w:r>
              <w:rPr>
                <w:rFonts w:hint="eastAsia" w:eastAsia="宋体"/>
                <w:color w:val="000000" w:themeColor="text1"/>
                <w:kern w:val="2"/>
                <w:highlight w:val="none"/>
                <w:lang w:eastAsia="zh-CN"/>
                <w14:textFill>
                  <w14:solidFill>
                    <w14:schemeClr w14:val="tx1"/>
                  </w14:solidFill>
                </w14:textFill>
              </w:rPr>
              <w:t>”的要求。</w:t>
            </w:r>
          </w:p>
          <w:p w14:paraId="2E1D6A9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另外项目</w:t>
            </w:r>
            <w:r>
              <w:rPr>
                <w:rFonts w:hint="eastAsia" w:eastAsia="宋体"/>
                <w:color w:val="000000" w:themeColor="text1"/>
                <w:kern w:val="2"/>
                <w:highlight w:val="none"/>
                <w:lang w:eastAsia="zh-CN"/>
                <w14:textFill>
                  <w14:solidFill>
                    <w14:schemeClr w14:val="tx1"/>
                  </w14:solidFill>
                </w14:textFill>
              </w:rPr>
              <w:t>评价</w:t>
            </w:r>
            <w:r>
              <w:rPr>
                <w:rFonts w:hint="eastAsia" w:eastAsia="宋体"/>
                <w:color w:val="000000" w:themeColor="text1"/>
                <w:kern w:val="2"/>
                <w:highlight w:val="none"/>
                <w14:textFill>
                  <w14:solidFill>
                    <w14:schemeClr w14:val="tx1"/>
                  </w14:solidFill>
                </w14:textFill>
              </w:rPr>
              <w:t>范围内</w:t>
            </w:r>
            <w:r>
              <w:rPr>
                <w:rFonts w:hint="eastAsia" w:eastAsia="宋体"/>
                <w:color w:val="000000" w:themeColor="text1"/>
                <w:kern w:val="2"/>
                <w:highlight w:val="none"/>
                <w:lang w:eastAsia="zh-CN"/>
                <w14:textFill>
                  <w14:solidFill>
                    <w14:schemeClr w14:val="tx1"/>
                  </w14:solidFill>
                </w14:textFill>
              </w:rPr>
              <w:t>不涉及</w:t>
            </w:r>
            <w:r>
              <w:rPr>
                <w:rFonts w:hint="eastAsia" w:eastAsia="宋体"/>
                <w:color w:val="000000" w:themeColor="text1"/>
                <w:kern w:val="2"/>
                <w:highlight w:val="none"/>
                <w14:textFill>
                  <w14:solidFill>
                    <w14:schemeClr w14:val="tx1"/>
                  </w14:solidFill>
                </w14:textFill>
              </w:rPr>
              <w:t>自然保护区、风景名胜区、世界文化和自然遗产地、饮用水水源保护区、基本农田保护区、重点文物古迹等</w:t>
            </w:r>
            <w:r>
              <w:rPr>
                <w:rFonts w:hint="eastAsia" w:eastAsia="宋体"/>
                <w:color w:val="000000" w:themeColor="text1"/>
                <w:kern w:val="2"/>
                <w:highlight w:val="none"/>
                <w:lang w:eastAsia="zh-CN"/>
                <w14:textFill>
                  <w14:solidFill>
                    <w14:schemeClr w14:val="tx1"/>
                  </w14:solidFill>
                </w14:textFill>
              </w:rPr>
              <w:t>需要保护的区域</w:t>
            </w:r>
            <w:r>
              <w:rPr>
                <w:rFonts w:hint="eastAsia" w:eastAsia="宋体"/>
                <w:color w:val="000000" w:themeColor="text1"/>
                <w:kern w:val="2"/>
                <w:highlight w:val="none"/>
                <w14:textFill>
                  <w14:solidFill>
                    <w14:schemeClr w14:val="tx1"/>
                  </w14:solidFill>
                </w14:textFill>
              </w:rPr>
              <w:t>。因此本项目与周边外环境相容。</w:t>
            </w:r>
            <w:r>
              <w:rPr>
                <w:rFonts w:hint="eastAsia" w:eastAsia="宋体"/>
                <w:b/>
                <w:bCs/>
                <w:color w:val="000000" w:themeColor="text1"/>
                <w:kern w:val="2"/>
                <w:highlight w:val="none"/>
                <w14:textFill>
                  <w14:solidFill>
                    <w14:schemeClr w14:val="tx1"/>
                  </w14:solidFill>
                </w14:textFill>
              </w:rPr>
              <w:t>综上所述，本项目外环境无重大环境制约因素，与外环境相容，选址合理。</w:t>
            </w:r>
          </w:p>
          <w:p w14:paraId="124D4C53">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2498AA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07C4C396">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4A8E4E7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410B232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40C064F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453372FF">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64FA12B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0DDF2309">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3780FA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A4E0DEE">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7BDAE50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650BEC39">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FF49BB1">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E5903E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7400036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688DBEE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7A9F127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39F8EC2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7AD3A5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791CB9C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321BCF3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14:textFill>
                  <w14:solidFill>
                    <w14:schemeClr w14:val="tx1"/>
                  </w14:solidFill>
                </w14:textFill>
              </w:rPr>
            </w:pPr>
          </w:p>
          <w:p w14:paraId="1D815FF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等线"/>
                <w:color w:val="000000" w:themeColor="text1"/>
                <w:sz w:val="24"/>
                <w:szCs w:val="24"/>
                <w:highlight w:val="none"/>
                <w:lang w:eastAsia="zh-CN"/>
                <w14:textFill>
                  <w14:solidFill>
                    <w14:schemeClr w14:val="tx1"/>
                  </w14:solidFill>
                </w14:textFill>
              </w:rPr>
            </w:pPr>
          </w:p>
        </w:tc>
      </w:tr>
    </w:tbl>
    <w:p w14:paraId="03AC021C">
      <w:pPr>
        <w:pStyle w:val="10"/>
        <w:ind w:left="0" w:leftChars="0" w:right="1470"/>
        <w:rPr>
          <w:color w:val="000000" w:themeColor="text1"/>
          <w:highlight w:val="none"/>
          <w14:textFill>
            <w14:solidFill>
              <w14:schemeClr w14:val="tx1"/>
            </w14:solidFill>
          </w14:textFill>
        </w:rPr>
        <w:sectPr>
          <w:footerReference r:id="rId4" w:type="default"/>
          <w:pgSz w:w="11906" w:h="16838"/>
          <w:pgMar w:top="1417" w:right="1474"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C619669">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3" w:name="_Toc80643342"/>
      <w:r>
        <w:rPr>
          <w:rFonts w:ascii="Times New Roman" w:hAnsi="Times New Roman" w:eastAsia="宋体"/>
          <w:b/>
          <w:bCs/>
          <w:snapToGrid w:val="0"/>
          <w:color w:val="000000" w:themeColor="text1"/>
          <w:kern w:val="0"/>
          <w:sz w:val="36"/>
          <w:szCs w:val="32"/>
          <w:highlight w:val="none"/>
          <w14:textFill>
            <w14:solidFill>
              <w14:schemeClr w14:val="tx1"/>
            </w14:solidFill>
          </w14:textFill>
        </w:rPr>
        <w:t>二、建设</w:t>
      </w:r>
      <w:bookmarkEnd w:id="3"/>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项目工程分析</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7"/>
        <w:gridCol w:w="8257"/>
      </w:tblGrid>
      <w:tr w14:paraId="6EB0C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00" w:type="pct"/>
            <w:shd w:val="clear" w:color="auto" w:fill="auto"/>
            <w:vAlign w:val="center"/>
          </w:tcPr>
          <w:p w14:paraId="4A0F76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建设内容</w:t>
            </w:r>
          </w:p>
        </w:tc>
        <w:tc>
          <w:tcPr>
            <w:tcW w:w="4538" w:type="pct"/>
            <w:shd w:val="clear" w:color="auto" w:fill="auto"/>
            <w:vAlign w:val="center"/>
          </w:tcPr>
          <w:p w14:paraId="2D1D87A9">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lang w:eastAsia="zh-CN"/>
                <w14:textFill>
                  <w14:solidFill>
                    <w14:schemeClr w14:val="tx1"/>
                  </w14:solidFill>
                </w14:textFill>
              </w:rPr>
              <w:t>一</w:t>
            </w:r>
            <w:r>
              <w:rPr>
                <w:rFonts w:hint="eastAsia" w:ascii="Times New Roman" w:hAnsi="Times New Roman" w:eastAsia="宋体"/>
                <w:b/>
                <w:color w:val="000000" w:themeColor="text1"/>
                <w:sz w:val="24"/>
                <w:szCs w:val="24"/>
                <w:highlight w:val="none"/>
                <w14:textFill>
                  <w14:solidFill>
                    <w14:schemeClr w14:val="tx1"/>
                  </w14:solidFill>
                </w14:textFill>
              </w:rPr>
              <w:t>、项目由来</w:t>
            </w:r>
          </w:p>
          <w:p w14:paraId="03FA92C9">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G42线南充至成都段高速公路扩容工程于2020年3月5日取得《四川省生态环境厅关于G42线南充至成都段高速公路扩容工程环境影响报告书的批复》（川环审批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29号）。主线扩容改造拟采用部分原路加宽扩建+部分新建方案。G42线南充至成都段高速公路扩容工程全长216.713km（其中沿原路扩建段长177.488km，新建段长39.225km）</w:t>
            </w:r>
            <w:r>
              <w:rPr>
                <w:rFonts w:hint="eastAsia" w:ascii="Times New Roman" w:hAnsi="Times New Roman" w:eastAsia="宋体"/>
                <w:color w:val="000000" w:themeColor="text1"/>
                <w:sz w:val="24"/>
                <w:szCs w:val="24"/>
                <w:highlight w:val="none"/>
                <w:lang w:eastAsia="zh-CN"/>
                <w14:textFill>
                  <w14:solidFill>
                    <w14:schemeClr w14:val="tx1"/>
                  </w14:solidFill>
                </w14:textFill>
              </w:rPr>
              <w:t>份不同标段由相应的施工单位承建，中交第三航务工程局有限公司承建南充至成都高速公路扩容工程土建施工LJ</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4"/>
                <w:highlight w:val="none"/>
                <w:lang w:eastAsia="zh-CN"/>
                <w14:textFill>
                  <w14:solidFill>
                    <w14:schemeClr w14:val="tx1"/>
                  </w14:solidFill>
                </w14:textFill>
              </w:rPr>
              <w:t>标段，本项目不属于</w:t>
            </w:r>
            <w:r>
              <w:rPr>
                <w:rFonts w:hint="eastAsia" w:ascii="Times New Roman" w:hAnsi="Times New Roman" w:eastAsia="宋体"/>
                <w:color w:val="000000" w:themeColor="text1"/>
                <w:sz w:val="24"/>
                <w:szCs w:val="24"/>
                <w:highlight w:val="none"/>
                <w14:textFill>
                  <w14:solidFill>
                    <w14:schemeClr w14:val="tx1"/>
                  </w14:solidFill>
                </w14:textFill>
              </w:rPr>
              <w:t>G42线南充至成都段高速公路扩容工程环境影响报告书</w:t>
            </w:r>
            <w:r>
              <w:rPr>
                <w:rFonts w:hint="eastAsia" w:ascii="Times New Roman" w:hAnsi="Times New Roman" w:eastAsia="宋体"/>
                <w:color w:val="000000" w:themeColor="text1"/>
                <w:sz w:val="24"/>
                <w:szCs w:val="24"/>
                <w:highlight w:val="none"/>
                <w:lang w:eastAsia="zh-CN"/>
                <w14:textFill>
                  <w14:solidFill>
                    <w14:schemeClr w14:val="tx1"/>
                  </w14:solidFill>
                </w14:textFill>
              </w:rPr>
              <w:t>评价的预制场、施工驻地及拌和场。</w:t>
            </w:r>
          </w:p>
          <w:p w14:paraId="026BD0FF">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hint="default"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本项目主要供应施工路段为K1811.214+100~K1832+369.184，</w:t>
            </w:r>
            <w:r>
              <w:rPr>
                <w:rFonts w:ascii="宋体" w:hAnsi="宋体" w:eastAsia="宋体" w:cs="宋体"/>
                <w:color w:val="000000" w:themeColor="text1"/>
                <w:sz w:val="24"/>
                <w:szCs w:val="24"/>
                <w:highlight w:val="none"/>
                <w14:textFill>
                  <w14:solidFill>
                    <w14:schemeClr w14:val="tx1"/>
                  </w14:solidFill>
                </w14:textFill>
              </w:rPr>
              <w:t>距离</w:t>
            </w:r>
            <w:r>
              <w:rPr>
                <w:rFonts w:hint="eastAsia" w:ascii="Times New Roman" w:hAnsi="Times New Roman" w:eastAsia="宋体"/>
                <w:color w:val="000000" w:themeColor="text1"/>
                <w:sz w:val="24"/>
                <w:szCs w:val="24"/>
                <w:highlight w:val="none"/>
                <w14:textFill>
                  <w14:solidFill>
                    <w14:schemeClr w14:val="tx1"/>
                  </w14:solidFill>
                </w14:textFill>
              </w:rPr>
              <w:t>G42线南充至成都段高速公路扩容工程环境影响报告书</w:t>
            </w:r>
            <w:r>
              <w:rPr>
                <w:rFonts w:hint="eastAsia" w:ascii="Times New Roman" w:hAnsi="Times New Roman" w:eastAsia="宋体"/>
                <w:color w:val="000000" w:themeColor="text1"/>
                <w:sz w:val="24"/>
                <w:szCs w:val="24"/>
                <w:highlight w:val="none"/>
                <w:lang w:eastAsia="zh-CN"/>
                <w14:textFill>
                  <w14:solidFill>
                    <w14:schemeClr w14:val="tx1"/>
                  </w14:solidFill>
                </w14:textFill>
              </w:rPr>
              <w:t>评价的预制场、施工驻地及拌和场距离较远</w:t>
            </w:r>
            <w:r>
              <w:rPr>
                <w:rFonts w:hint="default" w:ascii="Times New Roman" w:hAnsi="Times New Roman" w:eastAsia="宋体" w:cs="Times New Roman"/>
                <w:color w:val="000000" w:themeColor="text1"/>
                <w:sz w:val="24"/>
                <w:szCs w:val="24"/>
                <w:highlight w:val="none"/>
                <w14:textFill>
                  <w14:solidFill>
                    <w14:schemeClr w14:val="tx1"/>
                  </w14:solidFill>
                </w14:textFill>
              </w:rPr>
              <w:t>，易造成混凝土罐车长时间堵塞，从而导致混凝土在运输过程中产生初凝。为</w:t>
            </w:r>
            <w:r>
              <w:rPr>
                <w:rFonts w:hint="eastAsia" w:ascii="Times New Roman" w:hAnsi="Times New Roman" w:eastAsia="宋体"/>
                <w:color w:val="000000" w:themeColor="text1"/>
                <w:sz w:val="24"/>
                <w:szCs w:val="24"/>
                <w:highlight w:val="none"/>
                <w14:textFill>
                  <w14:solidFill>
                    <w14:schemeClr w14:val="tx1"/>
                  </w14:solidFill>
                </w14:textFill>
              </w:rPr>
              <w:t>满足G42线南充至成都段高速公路扩容工程</w:t>
            </w:r>
            <w:r>
              <w:rPr>
                <w:rFonts w:hint="eastAsia" w:ascii="Times New Roman" w:hAnsi="Times New Roman" w:eastAsia="宋体"/>
                <w:color w:val="000000" w:themeColor="text1"/>
                <w:sz w:val="24"/>
                <w:szCs w:val="24"/>
                <w:highlight w:val="none"/>
                <w:lang w:eastAsia="zh-CN"/>
                <w14:textFill>
                  <w14:solidFill>
                    <w14:schemeClr w14:val="tx1"/>
                  </w14:solidFill>
                </w14:textFill>
              </w:rPr>
              <w:t>主体工程土建施工</w:t>
            </w:r>
            <w:r>
              <w:rPr>
                <w:rFonts w:hint="eastAsia" w:ascii="Times New Roman" w:hAnsi="Times New Roman" w:eastAsia="宋体"/>
                <w:color w:val="000000" w:themeColor="text1"/>
                <w:sz w:val="24"/>
                <w:szCs w:val="24"/>
                <w:highlight w:val="none"/>
                <w14:textFill>
                  <w14:solidFill>
                    <w14:schemeClr w14:val="tx1"/>
                  </w14:solidFill>
                </w14:textFill>
              </w:rPr>
              <w:t>的混凝土</w:t>
            </w:r>
            <w:r>
              <w:rPr>
                <w:rFonts w:hint="eastAsia" w:ascii="Times New Roman" w:hAnsi="Times New Roman" w:eastAsia="宋体"/>
                <w:color w:val="000000" w:themeColor="text1"/>
                <w:sz w:val="24"/>
                <w:szCs w:val="24"/>
                <w:highlight w:val="none"/>
                <w:lang w:eastAsia="zh-CN"/>
                <w14:textFill>
                  <w14:solidFill>
                    <w14:schemeClr w14:val="tx1"/>
                  </w14:solidFill>
                </w14:textFill>
              </w:rPr>
              <w:t>、钢筋结构件</w:t>
            </w:r>
            <w:r>
              <w:rPr>
                <w:rFonts w:hint="eastAsia" w:ascii="Times New Roman" w:hAnsi="Times New Roman" w:eastAsia="宋体"/>
                <w:color w:val="000000" w:themeColor="text1"/>
                <w:sz w:val="24"/>
                <w:szCs w:val="24"/>
                <w:highlight w:val="none"/>
                <w14:textFill>
                  <w14:solidFill>
                    <w14:schemeClr w14:val="tx1"/>
                  </w14:solidFill>
                </w14:textFill>
              </w:rPr>
              <w:t>及</w:t>
            </w:r>
            <w:r>
              <w:rPr>
                <w:rFonts w:hint="eastAsia" w:ascii="Times New Roman" w:hAnsi="Times New Roman" w:eastAsia="宋体"/>
                <w:color w:val="000000" w:themeColor="text1"/>
                <w:sz w:val="24"/>
                <w:szCs w:val="24"/>
                <w:highlight w:val="none"/>
                <w:lang w:eastAsia="zh-CN"/>
                <w14:textFill>
                  <w14:solidFill>
                    <w14:schemeClr w14:val="tx1"/>
                  </w14:solidFill>
                </w14:textFill>
              </w:rPr>
              <w:t>预制件</w:t>
            </w:r>
            <w:r>
              <w:rPr>
                <w:rFonts w:hint="eastAsia" w:ascii="Times New Roman" w:hAnsi="Times New Roman" w:eastAsia="宋体"/>
                <w:color w:val="000000" w:themeColor="text1"/>
                <w:sz w:val="24"/>
                <w:szCs w:val="24"/>
                <w:highlight w:val="none"/>
                <w14:textFill>
                  <w14:solidFill>
                    <w14:schemeClr w14:val="tx1"/>
                  </w14:solidFill>
                </w14:textFill>
              </w:rPr>
              <w:t>需要，节约资源及运输成本，</w:t>
            </w: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r>
              <w:rPr>
                <w:rFonts w:hint="eastAsia" w:ascii="Times New Roman" w:hAnsi="Times New Roman" w:eastAsia="宋体"/>
                <w:color w:val="000000" w:themeColor="text1"/>
                <w:sz w:val="24"/>
                <w:szCs w:val="24"/>
                <w:highlight w:val="none"/>
                <w14:textFill>
                  <w14:solidFill>
                    <w14:schemeClr w14:val="tx1"/>
                  </w14:solidFill>
                </w14:textFill>
              </w:rPr>
              <w:t>拟投资9</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w:t>
            </w:r>
            <w:r>
              <w:rPr>
                <w:rFonts w:hint="eastAsia" w:ascii="Times New Roman" w:hAnsi="Times New Roman" w:eastAsia="宋体"/>
                <w:color w:val="000000" w:themeColor="text1"/>
                <w:sz w:val="24"/>
                <w:szCs w:val="24"/>
                <w:highlight w:val="none"/>
                <w14:textFill>
                  <w14:solidFill>
                    <w14:schemeClr w14:val="tx1"/>
                  </w14:solidFill>
                </w14:textFill>
              </w:rPr>
              <w:t>万元建设</w:t>
            </w:r>
            <w:r>
              <w:rPr>
                <w:rFonts w:hint="eastAsia" w:ascii="Times New Roman" w:hAnsi="Times New Roman" w:eastAsia="宋体"/>
                <w:color w:val="000000" w:themeColor="text1"/>
                <w:sz w:val="24"/>
                <w:szCs w:val="24"/>
                <w:highlight w:val="none"/>
                <w:lang w:eastAsia="zh-CN"/>
                <w14:textFill>
                  <w14:solidFill>
                    <w14:schemeClr w14:val="tx1"/>
                  </w14:solidFill>
                </w14:textFill>
              </w:rPr>
              <w:t>南充至成都高速公路扩容工程LJ5标段4#站</w:t>
            </w:r>
            <w:r>
              <w:rPr>
                <w:rFonts w:hint="eastAsia" w:ascii="Times New Roman" w:hAnsi="Times New Roman" w:eastAsia="宋体"/>
                <w:color w:val="000000" w:themeColor="text1"/>
                <w:sz w:val="24"/>
                <w:szCs w:val="24"/>
                <w:highlight w:val="none"/>
                <w14:textFill>
                  <w14:solidFill>
                    <w14:schemeClr w14:val="tx1"/>
                  </w14:solidFill>
                </w14:textFill>
              </w:rPr>
              <w:t>（以下简称“本项目”），项目占地面积为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42000</w:t>
            </w:r>
            <w:r>
              <w:rPr>
                <w:rFonts w:hint="eastAsia" w:ascii="Times New Roman" w:hAnsi="Times New Roman" w:eastAsia="宋体"/>
                <w:color w:val="000000" w:themeColor="text1"/>
                <w:sz w:val="24"/>
                <w:szCs w:val="24"/>
                <w:highlight w:val="none"/>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4"/>
                <w:highlight w:val="none"/>
                <w14:textFill>
                  <w14:solidFill>
                    <w14:schemeClr w14:val="tx1"/>
                  </w14:solidFill>
                </w14:textFill>
              </w:rPr>
              <w:t>，建设混凝土拌和站、</w:t>
            </w:r>
            <w:r>
              <w:rPr>
                <w:rFonts w:hint="eastAsia" w:ascii="Times New Roman" w:hAnsi="Times New Roman" w:eastAsia="宋体"/>
                <w:color w:val="000000" w:themeColor="text1"/>
                <w:sz w:val="24"/>
                <w:szCs w:val="24"/>
                <w:highlight w:val="none"/>
                <w:lang w:eastAsia="zh-CN"/>
                <w14:textFill>
                  <w14:solidFill>
                    <w14:schemeClr w14:val="tx1"/>
                  </w14:solidFill>
                </w14:textFill>
              </w:rPr>
              <w:t>钢筋加工场、</w:t>
            </w:r>
            <w:r>
              <w:rPr>
                <w:rFonts w:hint="eastAsia" w:ascii="Times New Roman" w:hAnsi="Times New Roman" w:eastAsia="宋体"/>
                <w:color w:val="000000" w:themeColor="text1"/>
                <w:sz w:val="24"/>
                <w:szCs w:val="24"/>
                <w:highlight w:val="none"/>
                <w14:textFill>
                  <w14:solidFill>
                    <w14:schemeClr w14:val="tx1"/>
                  </w14:solidFill>
                </w14:textFill>
              </w:rPr>
              <w:t>预制梁场等，同时配套相应的公辅设施等，建成后达到年产混凝土</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444</w:t>
            </w:r>
            <w:r>
              <w:rPr>
                <w:rFonts w:hint="eastAsia" w:ascii="Times New Roman" w:hAnsi="Times New Roman" w:eastAsia="宋体"/>
                <w:color w:val="000000" w:themeColor="text1"/>
                <w:sz w:val="24"/>
                <w:szCs w:val="24"/>
                <w:highlight w:val="none"/>
                <w14:textFill>
                  <w14:solidFill>
                    <w14:schemeClr w14:val="tx1"/>
                  </w14:solidFill>
                </w14:textFill>
              </w:rPr>
              <w:t>00m</w:t>
            </w:r>
            <w:r>
              <w:rPr>
                <w:rFonts w:hint="eastAsia"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4"/>
                <w:highlight w:val="none"/>
                <w14:textFill>
                  <w14:solidFill>
                    <w14:schemeClr w14:val="tx1"/>
                  </w14:solidFill>
                </w14:textFill>
              </w:rPr>
              <w:t>、预制梁</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288</w:t>
            </w:r>
            <w:r>
              <w:rPr>
                <w:rFonts w:hint="eastAsia" w:ascii="Times New Roman" w:hAnsi="Times New Roman" w:eastAsia="宋体"/>
                <w:color w:val="000000" w:themeColor="text1"/>
                <w:sz w:val="24"/>
                <w:szCs w:val="24"/>
                <w:highlight w:val="none"/>
                <w14:textFill>
                  <w14:solidFill>
                    <w14:schemeClr w14:val="tx1"/>
                  </w14:solidFill>
                </w14:textFill>
              </w:rPr>
              <w:t>片、</w:t>
            </w:r>
            <w:r>
              <w:rPr>
                <w:rFonts w:hint="eastAsia" w:ascii="Times New Roman" w:hAnsi="Times New Roman" w:eastAsia="宋体"/>
                <w:color w:val="000000" w:themeColor="text1"/>
                <w:sz w:val="24"/>
                <w:szCs w:val="24"/>
                <w:highlight w:val="none"/>
                <w:lang w:eastAsia="zh-CN"/>
                <w14:textFill>
                  <w14:solidFill>
                    <w14:schemeClr w14:val="tx1"/>
                  </w14:solidFill>
                </w14:textFill>
              </w:rPr>
              <w:t>钢筋结构件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2800</w:t>
            </w:r>
            <w:r>
              <w:rPr>
                <w:rFonts w:hint="eastAsia" w:ascii="Times New Roman" w:hAnsi="Times New Roman" w:eastAsia="宋体"/>
                <w:color w:val="000000" w:themeColor="text1"/>
                <w:sz w:val="24"/>
                <w:szCs w:val="24"/>
                <w:highlight w:val="none"/>
                <w14:textFill>
                  <w14:solidFill>
                    <w14:schemeClr w14:val="tx1"/>
                  </w14:solidFill>
                </w14:textFill>
              </w:rPr>
              <w:t>t</w:t>
            </w:r>
            <w:r>
              <w:rPr>
                <w:rFonts w:hint="eastAsia" w:ascii="Times New Roman" w:hAnsi="Times New Roman" w:eastAsia="宋体"/>
                <w:color w:val="000000" w:themeColor="text1"/>
                <w:sz w:val="24"/>
                <w:szCs w:val="24"/>
                <w:highlight w:val="none"/>
                <w:lang w:eastAsia="zh-CN"/>
                <w14:textFill>
                  <w14:solidFill>
                    <w14:schemeClr w14:val="tx1"/>
                  </w14:solidFill>
                </w14:textFill>
              </w:rPr>
              <w:t>。项目已于</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2022年9月14日</w:t>
            </w:r>
            <w:r>
              <w:rPr>
                <w:rFonts w:hint="eastAsia" w:ascii="Times New Roman" w:hAnsi="Times New Roman" w:eastAsia="宋体"/>
                <w:color w:val="000000" w:themeColor="text1"/>
                <w:sz w:val="24"/>
                <w:szCs w:val="24"/>
                <w:highlight w:val="none"/>
                <w:lang w:eastAsia="zh-CN"/>
                <w14:textFill>
                  <w14:solidFill>
                    <w14:schemeClr w14:val="tx1"/>
                  </w14:solidFill>
                </w14:textFill>
              </w:rPr>
              <w:t>取得四川省固定资产投资项目备案表（备案号：</w:t>
            </w:r>
            <w:r>
              <w:rPr>
                <w:rFonts w:hint="eastAsia" w:ascii="Times New Roman" w:hAnsi="Times New Roman" w:eastAsia="宋体"/>
                <w:b w:val="0"/>
                <w:bCs w:val="0"/>
                <w:color w:val="000000" w:themeColor="text1"/>
                <w:sz w:val="24"/>
                <w:szCs w:val="24"/>
                <w:highlight w:val="none"/>
                <w14:textFill>
                  <w14:solidFill>
                    <w14:schemeClr w14:val="tx1"/>
                  </w14:solidFill>
                </w14:textFill>
              </w:rPr>
              <w:t>川投资备【2209-510921-99-01-775415】FGQB-0121号</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3569BC7D">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本项目不涉及砂石开采和销售，所需砂石原料均为外购。本项目为成南高速公路扩容工程项目LJ</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szCs w:val="24"/>
                <w:highlight w:val="none"/>
                <w14:textFill>
                  <w14:solidFill>
                    <w14:schemeClr w14:val="tx1"/>
                  </w14:solidFill>
                </w14:textFill>
              </w:rPr>
              <w:t>标段配套项目，其产品只供给成南高速公路扩容工程项目LJ</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szCs w:val="24"/>
                <w:highlight w:val="none"/>
                <w14:textFill>
                  <w14:solidFill>
                    <w14:schemeClr w14:val="tx1"/>
                  </w14:solidFill>
                </w14:textFill>
              </w:rPr>
              <w:t>标段建设使用，不外售。</w:t>
            </w:r>
            <w:r>
              <w:rPr>
                <w:rFonts w:hint="eastAsia" w:ascii="Times New Roman" w:hAnsi="Times New Roman" w:eastAsia="宋体"/>
                <w:b/>
                <w:bCs/>
                <w:color w:val="000000" w:themeColor="text1"/>
                <w:sz w:val="24"/>
                <w:szCs w:val="24"/>
                <w:highlight w:val="none"/>
                <w:lang w:eastAsia="zh-CN"/>
                <w14:textFill>
                  <w14:solidFill>
                    <w14:schemeClr w14:val="tx1"/>
                  </w14:solidFill>
                </w14:textFill>
              </w:rPr>
              <w:t>本项目为临时工程，</w:t>
            </w:r>
            <w:r>
              <w:rPr>
                <w:rFonts w:hint="eastAsia" w:ascii="Times New Roman" w:hAnsi="Times New Roman" w:eastAsia="宋体"/>
                <w:b/>
                <w:bCs/>
                <w:color w:val="000000" w:themeColor="text1"/>
                <w:sz w:val="24"/>
                <w:szCs w:val="24"/>
                <w:highlight w:val="none"/>
                <w14:textFill>
                  <w14:solidFill>
                    <w14:schemeClr w14:val="tx1"/>
                  </w14:solidFill>
                </w14:textFill>
              </w:rPr>
              <w:t>服务期至成南高速公路扩容工程项目LJ</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szCs w:val="24"/>
                <w:highlight w:val="none"/>
                <w14:textFill>
                  <w14:solidFill>
                    <w14:schemeClr w14:val="tx1"/>
                  </w14:solidFill>
                </w14:textFill>
              </w:rPr>
              <w:t>标段施工结束（预计服务期为3年，2022年</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
                <w:bCs/>
                <w:color w:val="000000" w:themeColor="text1"/>
                <w:sz w:val="24"/>
                <w:szCs w:val="24"/>
                <w:highlight w:val="none"/>
                <w14:textFill>
                  <w14:solidFill>
                    <w14:schemeClr w14:val="tx1"/>
                  </w14:solidFill>
                </w14:textFill>
              </w:rPr>
              <w:t>月~2025年</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
                <w:bCs/>
                <w:color w:val="000000" w:themeColor="text1"/>
                <w:sz w:val="24"/>
                <w:szCs w:val="24"/>
                <w:highlight w:val="none"/>
                <w14:textFill>
                  <w14:solidFill>
                    <w14:schemeClr w14:val="tx1"/>
                  </w14:solidFill>
                </w14:textFill>
              </w:rPr>
              <w:t>月），并在服务期满后</w:t>
            </w:r>
            <w:r>
              <w:rPr>
                <w:rFonts w:hint="eastAsia" w:ascii="Times New Roman" w:hAnsi="Times New Roman" w:eastAsia="宋体"/>
                <w:b/>
                <w:bCs/>
                <w:color w:val="000000" w:themeColor="text1"/>
                <w:sz w:val="24"/>
                <w:szCs w:val="24"/>
                <w:highlight w:val="none"/>
                <w:lang w:eastAsia="zh-CN"/>
                <w14:textFill>
                  <w14:solidFill>
                    <w14:schemeClr w14:val="tx1"/>
                  </w14:solidFill>
                </w14:textFill>
              </w:rPr>
              <w:t>退出，对临时用地部分进行土地复垦</w:t>
            </w:r>
            <w:r>
              <w:rPr>
                <w:rFonts w:hint="eastAsia" w:ascii="Times New Roman" w:hAnsi="Times New Roman" w:eastAsia="宋体"/>
                <w:b/>
                <w:bCs/>
                <w:color w:val="000000" w:themeColor="text1"/>
                <w:sz w:val="24"/>
                <w:szCs w:val="24"/>
                <w:highlight w:val="none"/>
                <w14:textFill>
                  <w14:solidFill>
                    <w14:schemeClr w14:val="tx1"/>
                  </w14:solidFill>
                </w14:textFill>
              </w:rPr>
              <w:t>。</w:t>
            </w:r>
          </w:p>
          <w:p w14:paraId="47585BA2">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按照《中华人民共和国环境保护法》（中华人民共和国主席令 第九号）、《中华人民共和国环境影响评价法》（中华人民共和国主席令 第二十四号）和《建设项目环境保护管理条例》（国务院</w:t>
            </w:r>
            <w:r>
              <w:rPr>
                <w:rFonts w:hint="eastAsia" w:ascii="Times New Roman" w:hAnsi="Times New Roman" w:eastAsia="宋体"/>
                <w:color w:val="000000" w:themeColor="text1"/>
                <w:sz w:val="24"/>
                <w:szCs w:val="24"/>
                <w:highlight w:val="none"/>
                <w14:textFill>
                  <w14:solidFill>
                    <w14:schemeClr w14:val="tx1"/>
                  </w14:solidFill>
                </w14:textFill>
              </w:rPr>
              <w:t>令</w:t>
            </w:r>
            <w:r>
              <w:rPr>
                <w:rFonts w:ascii="Times New Roman" w:hAnsi="Times New Roman" w:eastAsia="宋体"/>
                <w:color w:val="000000" w:themeColor="text1"/>
                <w:sz w:val="24"/>
                <w:szCs w:val="24"/>
                <w:highlight w:val="none"/>
                <w14:textFill>
                  <w14:solidFill>
                    <w14:schemeClr w14:val="tx1"/>
                  </w14:solidFill>
                </w14:textFill>
              </w:rPr>
              <w:t>第682号令）的要求，建设项目应进行环境影响评价。</w:t>
            </w:r>
          </w:p>
          <w:p w14:paraId="5A2E5ECF">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根据项目建设内容及项目外环境关系调查，查阅《建设项目环境影响评价分类管理名录（2021年版）》（生态环境部 部令第16号），本项目情况如下：</w:t>
            </w:r>
          </w:p>
          <w:p w14:paraId="61BB614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bidi="ar"/>
                <w14:textFill>
                  <w14:solidFill>
                    <w14:schemeClr w14:val="tx1"/>
                  </w14:solidFill>
                </w14:textFill>
              </w:rPr>
              <w:t>2</w:t>
            </w:r>
            <w:r>
              <w:rPr>
                <w:rFonts w:ascii="Times New Roman" w:hAnsi="Times New Roman" w:eastAsia="宋体"/>
                <w:b/>
                <w:bCs/>
                <w:color w:val="000000" w:themeColor="text1"/>
                <w:szCs w:val="21"/>
                <w:highlight w:val="none"/>
                <w:lang w:bidi="ar"/>
                <w14:textFill>
                  <w14:solidFill>
                    <w14:schemeClr w14:val="tx1"/>
                  </w14:solidFill>
                </w14:textFill>
              </w:rPr>
              <w:t>-1</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 xml:space="preserve">    </w:t>
            </w:r>
            <w:r>
              <w:rPr>
                <w:rFonts w:ascii="Times New Roman" w:hAnsi="Times New Roman" w:eastAsia="宋体"/>
                <w:b/>
                <w:bCs/>
                <w:color w:val="000000" w:themeColor="text1"/>
                <w:szCs w:val="21"/>
                <w:highlight w:val="none"/>
                <w:lang w:bidi="ar"/>
                <w14:textFill>
                  <w14:solidFill>
                    <w14:schemeClr w14:val="tx1"/>
                  </w14:solidFill>
                </w14:textFill>
              </w:rPr>
              <w:t>《建设项目环境影响评价分类管理名录》摘录</w:t>
            </w:r>
          </w:p>
          <w:tbl>
            <w:tblPr>
              <w:tblStyle w:val="20"/>
              <w:tblW w:w="4997" w:type="pct"/>
              <w:jc w:val="center"/>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1756"/>
              <w:gridCol w:w="1087"/>
              <w:gridCol w:w="2294"/>
              <w:gridCol w:w="901"/>
              <w:gridCol w:w="1362"/>
            </w:tblGrid>
            <w:tr w14:paraId="3227B9C8">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6" w:type="pct"/>
                  <w:gridSpan w:val="2"/>
                  <w:tcBorders>
                    <w:top w:val="single" w:color="auto" w:sz="12" w:space="0"/>
                  </w:tcBorders>
                  <w:vAlign w:val="center"/>
                </w:tcPr>
                <w:p w14:paraId="62539FEB">
                  <w:pPr>
                    <w:adjustRightInd w:val="0"/>
                    <w:snapToGrid w:val="0"/>
                    <w:spacing w:line="360" w:lineRule="exact"/>
                    <w:jc w:val="right"/>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-80645</wp:posOffset>
                            </wp:positionH>
                            <wp:positionV relativeFrom="paragraph">
                              <wp:posOffset>3175</wp:posOffset>
                            </wp:positionV>
                            <wp:extent cx="1513205" cy="446405"/>
                            <wp:effectExtent l="2540" t="7620" r="8255" b="22225"/>
                            <wp:wrapNone/>
                            <wp:docPr id="16" name="直接连接符 16"/>
                            <wp:cNvGraphicFramePr/>
                            <a:graphic xmlns:a="http://schemas.openxmlformats.org/drawingml/2006/main">
                              <a:graphicData uri="http://schemas.microsoft.com/office/word/2010/wordprocessingShape">
                                <wps:wsp>
                                  <wps:cNvCnPr/>
                                  <wps:spPr>
                                    <a:xfrm>
                                      <a:off x="0" y="0"/>
                                      <a:ext cx="1513205" cy="44640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6.35pt;margin-top:0.25pt;height:35.15pt;width:119.15pt;z-index:251660288;mso-width-relative:page;mso-height-relative:page;" filled="f" stroked="t" coordsize="21600,21600" o:gfxdata="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fxtte1wAAAAcBAAAPAAAAAAAAAAEAIAAAACIAAABkcnMvZG93bnJldi54bWxQSwECFAAUAAAA&#10;CACHTuJALu0m0O8BAADgAwAADgAAAAAAAAABACAAAAAmAQAAZHJzL2Uyb0RvYy54bWxQSwUGAAAA&#10;AAYABgBZAQAAhwUAAAAA&#10;">
                            <v:fill on="f" focussize="0,0"/>
                            <v:stroke weight="1.25pt" color="#000000" joinstyle="round"/>
                            <v:imagedata o:title=""/>
                            <o:lock v:ext="edit" aspectratio="f"/>
                          </v:line>
                        </w:pict>
                      </mc:Fallback>
                    </mc:AlternateContent>
                  </w:r>
                  <w:r>
                    <w:rPr>
                      <w:rFonts w:ascii="Times New Roman" w:hAnsi="Times New Roman" w:eastAsia="宋体"/>
                      <w:b/>
                      <w:bCs/>
                      <w:color w:val="000000" w:themeColor="text1"/>
                      <w:szCs w:val="21"/>
                      <w:highlight w:val="none"/>
                      <w:lang w:bidi="ar"/>
                      <w14:textFill>
                        <w14:solidFill>
                          <w14:schemeClr w14:val="tx1"/>
                        </w14:solidFill>
                      </w14:textFill>
                    </w:rPr>
                    <w:t>环评类别</w:t>
                  </w:r>
                </w:p>
                <w:p w14:paraId="0821C169">
                  <w:pPr>
                    <w:adjustRightInd w:val="0"/>
                    <w:snapToGrid w:val="0"/>
                    <w:spacing w:line="360" w:lineRule="exact"/>
                    <w:jc w:val="left"/>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项目类别</w:t>
                  </w:r>
                </w:p>
              </w:tc>
              <w:tc>
                <w:tcPr>
                  <w:tcW w:w="677" w:type="pct"/>
                  <w:tcBorders>
                    <w:top w:val="single" w:color="auto" w:sz="12" w:space="0"/>
                  </w:tcBorders>
                  <w:vAlign w:val="center"/>
                </w:tcPr>
                <w:p w14:paraId="606C3FCB">
                  <w:pPr>
                    <w:adjustRightInd w:val="0"/>
                    <w:snapToGrid w:val="0"/>
                    <w:spacing w:line="360" w:lineRule="exact"/>
                    <w:jc w:val="center"/>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报告书</w:t>
                  </w:r>
                </w:p>
              </w:tc>
              <w:tc>
                <w:tcPr>
                  <w:tcW w:w="1428" w:type="pct"/>
                  <w:tcBorders>
                    <w:top w:val="single" w:color="auto" w:sz="12" w:space="0"/>
                  </w:tcBorders>
                  <w:vAlign w:val="center"/>
                </w:tcPr>
                <w:p w14:paraId="5CADFC22">
                  <w:pPr>
                    <w:adjustRightInd w:val="0"/>
                    <w:snapToGrid w:val="0"/>
                    <w:spacing w:line="360" w:lineRule="exact"/>
                    <w:jc w:val="center"/>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报告表</w:t>
                  </w:r>
                </w:p>
              </w:tc>
              <w:tc>
                <w:tcPr>
                  <w:tcW w:w="561" w:type="pct"/>
                  <w:tcBorders>
                    <w:top w:val="single" w:color="auto" w:sz="12" w:space="0"/>
                  </w:tcBorders>
                  <w:vAlign w:val="center"/>
                </w:tcPr>
                <w:p w14:paraId="2D2CED26">
                  <w:pPr>
                    <w:adjustRightInd w:val="0"/>
                    <w:snapToGrid w:val="0"/>
                    <w:spacing w:line="360" w:lineRule="exact"/>
                    <w:jc w:val="center"/>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登记表</w:t>
                  </w:r>
                </w:p>
              </w:tc>
              <w:tc>
                <w:tcPr>
                  <w:tcW w:w="846" w:type="pct"/>
                  <w:tcBorders>
                    <w:top w:val="single" w:color="auto" w:sz="12" w:space="0"/>
                    <w:right w:val="nil"/>
                  </w:tcBorders>
                  <w:vAlign w:val="center"/>
                </w:tcPr>
                <w:p w14:paraId="11B302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本栏目环境敏感区含义</w:t>
                  </w:r>
                </w:p>
              </w:tc>
            </w:tr>
            <w:tr w14:paraId="47590EAE">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tcBorders>
                    <w:right w:val="nil"/>
                  </w:tcBorders>
                  <w:vAlign w:val="center"/>
                </w:tcPr>
                <w:p w14:paraId="2FEDF57A">
                  <w:pPr>
                    <w:adjustRightInd w:val="0"/>
                    <w:snapToGrid w:val="0"/>
                    <w:spacing w:line="360" w:lineRule="exact"/>
                    <w:jc w:val="center"/>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二十七、非金属矿物制品业</w:t>
                  </w:r>
                </w:p>
              </w:tc>
            </w:tr>
            <w:tr w14:paraId="03069149">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tcBorders>
                    <w:bottom w:val="single" w:color="auto" w:sz="12" w:space="0"/>
                  </w:tcBorders>
                  <w:vAlign w:val="center"/>
                </w:tcPr>
                <w:p w14:paraId="1C6E64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55</w:t>
                  </w:r>
                </w:p>
              </w:tc>
              <w:tc>
                <w:tcPr>
                  <w:tcW w:w="1093" w:type="pct"/>
                  <w:tcBorders>
                    <w:bottom w:val="single" w:color="auto" w:sz="12" w:space="0"/>
                  </w:tcBorders>
                  <w:vAlign w:val="center"/>
                </w:tcPr>
                <w:p w14:paraId="0973C9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石膏、水泥制品及类似制品制造</w:t>
                  </w:r>
                </w:p>
              </w:tc>
              <w:tc>
                <w:tcPr>
                  <w:tcW w:w="677" w:type="pct"/>
                  <w:tcBorders>
                    <w:bottom w:val="single" w:color="auto" w:sz="12" w:space="0"/>
                  </w:tcBorders>
                  <w:vAlign w:val="center"/>
                </w:tcPr>
                <w:p w14:paraId="2D7A09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1428" w:type="pct"/>
                  <w:tcBorders>
                    <w:bottom w:val="single" w:color="auto" w:sz="12" w:space="0"/>
                  </w:tcBorders>
                  <w:vAlign w:val="center"/>
                </w:tcPr>
                <w:p w14:paraId="3E3E78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商品混凝土；砼结构构件制造；水泥制品制造</w:t>
                  </w:r>
                </w:p>
              </w:tc>
              <w:tc>
                <w:tcPr>
                  <w:tcW w:w="561" w:type="pct"/>
                  <w:tcBorders>
                    <w:bottom w:val="single" w:color="auto" w:sz="12" w:space="0"/>
                  </w:tcBorders>
                  <w:vAlign w:val="center"/>
                </w:tcPr>
                <w:p w14:paraId="7F4888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w:t>
                  </w:r>
                </w:p>
              </w:tc>
              <w:tc>
                <w:tcPr>
                  <w:tcW w:w="846" w:type="pct"/>
                  <w:tcBorders>
                    <w:bottom w:val="single" w:color="auto" w:sz="12" w:space="0"/>
                    <w:right w:val="nil"/>
                  </w:tcBorders>
                  <w:vAlign w:val="center"/>
                </w:tcPr>
                <w:p w14:paraId="55F6B0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bl>
          <w:p w14:paraId="2B7A0500">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对照“5</w:t>
            </w:r>
            <w:r>
              <w:rPr>
                <w:rFonts w:ascii="Times New Roman" w:hAnsi="Times New Roman" w:eastAsia="宋体"/>
                <w:color w:val="000000" w:themeColor="text1"/>
                <w:sz w:val="24"/>
                <w:szCs w:val="24"/>
                <w:highlight w:val="none"/>
                <w14:textFill>
                  <w14:solidFill>
                    <w14:schemeClr w14:val="tx1"/>
                  </w14:solidFill>
                </w14:textFill>
              </w:rPr>
              <w:t xml:space="preserve">5 </w:t>
            </w:r>
            <w:r>
              <w:rPr>
                <w:rFonts w:ascii="Times New Roman" w:hAnsi="Times New Roman" w:eastAsia="宋体"/>
                <w:color w:val="000000" w:themeColor="text1"/>
                <w:sz w:val="24"/>
                <w:szCs w:val="24"/>
                <w:highlight w:val="none"/>
                <w:lang w:bidi="ar"/>
                <w14:textFill>
                  <w14:solidFill>
                    <w14:schemeClr w14:val="tx1"/>
                  </w14:solidFill>
                </w14:textFill>
              </w:rPr>
              <w:t>石膏、水泥制品及类似制品</w:t>
            </w:r>
            <w:r>
              <w:rPr>
                <w:rFonts w:hint="eastAsia" w:ascii="Times New Roman" w:hAnsi="Times New Roman" w:eastAsia="宋体"/>
                <w:color w:val="000000" w:themeColor="text1"/>
                <w:sz w:val="24"/>
                <w:szCs w:val="24"/>
                <w:highlight w:val="none"/>
                <w:lang w:bidi="ar"/>
                <w14:textFill>
                  <w14:solidFill>
                    <w14:schemeClr w14:val="tx1"/>
                  </w14:solidFill>
                </w14:textFill>
              </w:rPr>
              <w:t>制造</w:t>
            </w:r>
            <w:r>
              <w:rPr>
                <w:rFonts w:hint="eastAsia" w:ascii="Times New Roman" w:hAnsi="Times New Roman" w:eastAsia="宋体"/>
                <w:color w:val="000000" w:themeColor="text1"/>
                <w:sz w:val="24"/>
                <w:szCs w:val="24"/>
                <w:highlight w:val="none"/>
                <w14:textFill>
                  <w14:solidFill>
                    <w14:schemeClr w14:val="tx1"/>
                  </w14:solidFill>
                </w14:textFill>
              </w:rPr>
              <w:t>”，本项目为商品混凝土及砼结构构件制造，应编制环境影响报告表。</w:t>
            </w:r>
          </w:p>
          <w:p w14:paraId="4EEDC9E1">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综上，本项目环境影响评价项目类别为报告表。</w:t>
            </w:r>
          </w:p>
          <w:p w14:paraId="3ED1352F">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为此，</w:t>
            </w: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r>
              <w:rPr>
                <w:rFonts w:hint="eastAsia" w:ascii="Times New Roman" w:hAnsi="Times New Roman" w:eastAsia="宋体"/>
                <w:color w:val="000000" w:themeColor="text1"/>
                <w:sz w:val="24"/>
                <w:szCs w:val="24"/>
                <w:highlight w:val="none"/>
                <w14:textFill>
                  <w14:solidFill>
                    <w14:schemeClr w14:val="tx1"/>
                  </w14:solidFill>
                </w14:textFill>
              </w:rPr>
              <w:t>委托</w:t>
            </w:r>
            <w:r>
              <w:rPr>
                <w:rFonts w:hint="eastAsia" w:ascii="Times New Roman" w:hAnsi="Times New Roman" w:eastAsia="宋体"/>
                <w:color w:val="000000" w:themeColor="text1"/>
                <w:sz w:val="24"/>
                <w:szCs w:val="24"/>
                <w:highlight w:val="none"/>
                <w:lang w:eastAsia="zh-CN"/>
                <w14:textFill>
                  <w14:solidFill>
                    <w14:schemeClr w14:val="tx1"/>
                  </w14:solidFill>
                </w14:textFill>
              </w:rPr>
              <w:t>四川启创环保</w:t>
            </w:r>
            <w:r>
              <w:rPr>
                <w:rFonts w:hint="eastAsia" w:ascii="Times New Roman" w:hAnsi="Times New Roman" w:eastAsia="宋体"/>
                <w:color w:val="000000" w:themeColor="text1"/>
                <w:sz w:val="24"/>
                <w:szCs w:val="24"/>
                <w:highlight w:val="none"/>
                <w14:textFill>
                  <w14:solidFill>
                    <w14:schemeClr w14:val="tx1"/>
                  </w14:solidFill>
                </w14:textFill>
              </w:rPr>
              <w:t>科技有限公司（以下简称“我单位”）编制该项目环境影响报告表。我单位承担该项目的环境影响评价委托工作后，迅速进行了现场踏勘、调研，对建设工程进行了全面调查，在了解建设项目污染物排放特征和周围环境特点的基础上，按照环境影响技术导则、相关法律法规和技术规范，分析预测项目建设过程中以及投入运营后对周围环境的影响程度、影响范围以及环境质量可能发生的变化，编制完成项目环境影响报告表。</w:t>
            </w:r>
          </w:p>
          <w:p w14:paraId="776B85DD">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lang w:eastAsia="zh-CN"/>
                <w14:textFill>
                  <w14:solidFill>
                    <w14:schemeClr w14:val="tx1"/>
                  </w14:solidFill>
                </w14:textFill>
              </w:rPr>
              <w:t>二</w:t>
            </w:r>
            <w:r>
              <w:rPr>
                <w:rFonts w:hint="eastAsia" w:ascii="Times New Roman" w:hAnsi="Times New Roman" w:eastAsia="宋体"/>
                <w:b/>
                <w:color w:val="000000" w:themeColor="text1"/>
                <w:sz w:val="24"/>
                <w:szCs w:val="24"/>
                <w:highlight w:val="none"/>
                <w14:textFill>
                  <w14:solidFill>
                    <w14:schemeClr w14:val="tx1"/>
                  </w14:solidFill>
                </w14:textFill>
              </w:rPr>
              <w:t>、项目概况</w:t>
            </w:r>
          </w:p>
          <w:p w14:paraId="01173C1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b/>
                <w:bCs/>
                <w:color w:val="000000" w:themeColor="text1"/>
                <w:sz w:val="24"/>
                <w:szCs w:val="24"/>
                <w:highlight w:val="none"/>
                <w:lang w:eastAsia="zh-CN"/>
                <w14:textFill>
                  <w14:solidFill>
                    <w14:schemeClr w14:val="tx1"/>
                  </w14:solidFill>
                </w14:textFill>
              </w:rPr>
            </w:pPr>
            <w:r>
              <w:rPr>
                <w:rFonts w:ascii="Times New Roman" w:hAnsi="Times New Roman" w:eastAsia="宋体"/>
                <w:b/>
                <w:bCs/>
                <w:color w:val="000000" w:themeColor="text1"/>
                <w:sz w:val="24"/>
                <w:szCs w:val="24"/>
                <w:highlight w:val="none"/>
                <w14:textFill>
                  <w14:solidFill>
                    <w14:schemeClr w14:val="tx1"/>
                  </w14:solidFill>
                </w14:textFill>
              </w:rPr>
              <w:t>项目名称：</w:t>
            </w:r>
            <w:r>
              <w:rPr>
                <w:rFonts w:hint="eastAsia" w:ascii="Times New Roman" w:hAnsi="Times New Roman" w:eastAsia="宋体"/>
                <w:color w:val="000000" w:themeColor="text1"/>
                <w:sz w:val="24"/>
                <w:szCs w:val="24"/>
                <w:highlight w:val="none"/>
                <w:lang w:eastAsia="zh-CN"/>
                <w14:textFill>
                  <w14:solidFill>
                    <w14:schemeClr w14:val="tx1"/>
                  </w14:solidFill>
                </w14:textFill>
              </w:rPr>
              <w:t>南充至成都高速公路扩容工程LJ5标段4#站</w:t>
            </w:r>
          </w:p>
          <w:p w14:paraId="5BF1816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b/>
                <w:bCs/>
                <w:color w:val="000000" w:themeColor="text1"/>
                <w:sz w:val="24"/>
                <w:szCs w:val="24"/>
                <w:highlight w:val="none"/>
                <w14:textFill>
                  <w14:solidFill>
                    <w14:schemeClr w14:val="tx1"/>
                  </w14:solidFill>
                </w14:textFill>
              </w:rPr>
              <w:t>建设单位：</w:t>
            </w: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p>
          <w:p w14:paraId="2820BB8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建设性质：</w:t>
            </w:r>
            <w:r>
              <w:rPr>
                <w:rFonts w:hint="eastAsia" w:ascii="Times New Roman" w:hAnsi="Times New Roman" w:eastAsia="宋体"/>
                <w:color w:val="000000" w:themeColor="text1"/>
                <w:sz w:val="24"/>
                <w:szCs w:val="24"/>
                <w:highlight w:val="none"/>
                <w14:textFill>
                  <w14:solidFill>
                    <w14:schemeClr w14:val="tx1"/>
                  </w14:solidFill>
                </w14:textFill>
              </w:rPr>
              <w:t>新建（临时工程）</w:t>
            </w:r>
          </w:p>
          <w:p w14:paraId="02AA221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
                <w:bCs/>
                <w:color w:val="000000" w:themeColor="text1"/>
                <w:sz w:val="24"/>
                <w:szCs w:val="24"/>
                <w:highlight w:val="none"/>
                <w14:textFill>
                  <w14:solidFill>
                    <w14:schemeClr w14:val="tx1"/>
                  </w14:solidFill>
                </w14:textFill>
              </w:rPr>
              <w:t>建设地点：</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四川省遂宁市蓬溪县大石镇偏马村一社（</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E</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105°37′49.578″，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30°39′29.020″</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4F8174F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工程投资：</w:t>
            </w:r>
            <w:r>
              <w:rPr>
                <w:rFonts w:hint="eastAsia" w:ascii="Times New Roman" w:hAnsi="Times New Roman" w:eastAsia="宋体"/>
                <w:bCs/>
                <w:color w:val="000000" w:themeColor="text1"/>
                <w:sz w:val="24"/>
                <w:szCs w:val="24"/>
                <w:highlight w:val="none"/>
                <w14:textFill>
                  <w14:solidFill>
                    <w14:schemeClr w14:val="tx1"/>
                  </w14:solidFill>
                </w14:textFill>
              </w:rPr>
              <w:t>9</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bCs/>
                <w:color w:val="000000" w:themeColor="text1"/>
                <w:sz w:val="24"/>
                <w:szCs w:val="24"/>
                <w:highlight w:val="none"/>
                <w14:textFill>
                  <w14:solidFill>
                    <w14:schemeClr w14:val="tx1"/>
                  </w14:solidFill>
                </w14:textFill>
              </w:rPr>
              <w:t>0</w:t>
            </w:r>
            <w:r>
              <w:rPr>
                <w:rFonts w:ascii="Times New Roman" w:hAnsi="Times New Roman" w:eastAsia="宋体"/>
                <w:color w:val="000000" w:themeColor="text1"/>
                <w:sz w:val="24"/>
                <w:szCs w:val="24"/>
                <w:highlight w:val="none"/>
                <w14:textFill>
                  <w14:solidFill>
                    <w14:schemeClr w14:val="tx1"/>
                  </w14:solidFill>
                </w14:textFill>
              </w:rPr>
              <w:t>万元</w:t>
            </w:r>
          </w:p>
          <w:p w14:paraId="172C1CF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14:textFill>
                  <w14:solidFill>
                    <w14:schemeClr w14:val="tx1"/>
                  </w14:solidFill>
                </w14:textFill>
              </w:rPr>
              <w:t>使用期限：</w:t>
            </w:r>
            <w:r>
              <w:rPr>
                <w:rFonts w:hint="eastAsia" w:ascii="Times New Roman" w:hAnsi="Times New Roman" w:eastAsia="宋体"/>
                <w:bCs/>
                <w:color w:val="000000" w:themeColor="text1"/>
                <w:sz w:val="24"/>
                <w:szCs w:val="24"/>
                <w:highlight w:val="none"/>
                <w14:textFill>
                  <w14:solidFill>
                    <w14:schemeClr w14:val="tx1"/>
                  </w14:solidFill>
                </w14:textFill>
              </w:rPr>
              <w:t>3年（2022年</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Cs/>
                <w:color w:val="000000" w:themeColor="text1"/>
                <w:sz w:val="24"/>
                <w:szCs w:val="24"/>
                <w:highlight w:val="none"/>
                <w14:textFill>
                  <w14:solidFill>
                    <w14:schemeClr w14:val="tx1"/>
                  </w14:solidFill>
                </w14:textFill>
              </w:rPr>
              <w:t>月~2025年</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Cs/>
                <w:color w:val="000000" w:themeColor="text1"/>
                <w:sz w:val="24"/>
                <w:szCs w:val="24"/>
                <w:highlight w:val="none"/>
                <w14:textFill>
                  <w14:solidFill>
                    <w14:schemeClr w14:val="tx1"/>
                  </w14:solidFill>
                </w14:textFill>
              </w:rPr>
              <w:t>月）</w:t>
            </w:r>
          </w:p>
          <w:p w14:paraId="582759E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14:textFill>
                  <w14:solidFill>
                    <w14:schemeClr w14:val="tx1"/>
                  </w14:solidFill>
                </w14:textFill>
              </w:rPr>
              <w:t>劳动定员及工作制度：</w:t>
            </w:r>
            <w:r>
              <w:rPr>
                <w:rFonts w:hint="eastAsia" w:ascii="Times New Roman" w:hAnsi="Times New Roman" w:eastAsia="宋体"/>
                <w:bCs/>
                <w:color w:val="000000" w:themeColor="text1"/>
                <w:sz w:val="24"/>
                <w:szCs w:val="24"/>
                <w:highlight w:val="none"/>
                <w14:textFill>
                  <w14:solidFill>
                    <w14:schemeClr w14:val="tx1"/>
                  </w14:solidFill>
                </w14:textFill>
              </w:rPr>
              <w:t>劳动定员为</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75</w:t>
            </w:r>
            <w:r>
              <w:rPr>
                <w:rFonts w:hint="eastAsia" w:ascii="Times New Roman" w:hAnsi="Times New Roman" w:eastAsia="宋体"/>
                <w:bCs/>
                <w:color w:val="000000" w:themeColor="text1"/>
                <w:sz w:val="24"/>
                <w:szCs w:val="24"/>
                <w:highlight w:val="none"/>
                <w14:textFill>
                  <w14:solidFill>
                    <w14:schemeClr w14:val="tx1"/>
                  </w14:solidFill>
                </w14:textFill>
              </w:rPr>
              <w:t>人，其中管理人员</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Cs/>
                <w:color w:val="000000" w:themeColor="text1"/>
                <w:sz w:val="24"/>
                <w:szCs w:val="24"/>
                <w:highlight w:val="none"/>
                <w14:textFill>
                  <w14:solidFill>
                    <w14:schemeClr w14:val="tx1"/>
                  </w14:solidFill>
                </w14:textFill>
              </w:rPr>
              <w:t>人，</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工人</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70</w:t>
            </w:r>
            <w:r>
              <w:rPr>
                <w:rFonts w:hint="eastAsia" w:ascii="Times New Roman" w:hAnsi="Times New Roman" w:eastAsia="宋体"/>
                <w:bCs/>
                <w:color w:val="000000" w:themeColor="text1"/>
                <w:sz w:val="24"/>
                <w:szCs w:val="24"/>
                <w:highlight w:val="none"/>
                <w14:textFill>
                  <w14:solidFill>
                    <w14:schemeClr w14:val="tx1"/>
                  </w14:solidFill>
                </w14:textFill>
              </w:rPr>
              <w:t>人；年工作350天，每天10小时。</w:t>
            </w:r>
          </w:p>
          <w:p w14:paraId="59FC146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建设内容及规模：</w:t>
            </w:r>
            <w:r>
              <w:rPr>
                <w:rFonts w:hint="eastAsia" w:ascii="Times New Roman" w:hAnsi="Times New Roman" w:eastAsia="宋体"/>
                <w:bCs/>
                <w:color w:val="000000" w:themeColor="text1"/>
                <w:sz w:val="24"/>
                <w:szCs w:val="24"/>
                <w:highlight w:val="none"/>
                <w14:textFill>
                  <w14:solidFill>
                    <w14:schemeClr w14:val="tx1"/>
                  </w14:solidFill>
                </w14:textFill>
              </w:rPr>
              <w:t>本项目租用</w:t>
            </w: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本项目占地面积共计</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42000m</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，其中部分</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租赁蓬溪县大石镇人民政府偏马村一社集体建设用地，用地面积</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36.48亩（约25028.56m</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）；部分场地（</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16971.44m</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）位于《G42线南充至成都段高速公路扩容工程》项目用地红线内。</w:t>
            </w:r>
            <w:r>
              <w:rPr>
                <w:rFonts w:hint="eastAsia" w:ascii="Times New Roman" w:hAnsi="Times New Roman" w:eastAsia="宋体"/>
                <w:bCs/>
                <w:color w:val="000000" w:themeColor="text1"/>
                <w:sz w:val="24"/>
                <w:szCs w:val="24"/>
                <w:highlight w:val="none"/>
                <w14:textFill>
                  <w14:solidFill>
                    <w14:schemeClr w14:val="tx1"/>
                  </w14:solidFill>
                </w14:textFill>
              </w:rPr>
              <w:t>建设混凝土</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、钢筋加工</w:t>
            </w:r>
            <w:r>
              <w:rPr>
                <w:rFonts w:hint="eastAsia" w:ascii="Times New Roman" w:hAnsi="Times New Roman" w:eastAsia="宋体"/>
                <w:bCs/>
                <w:color w:val="000000" w:themeColor="text1"/>
                <w:sz w:val="24"/>
                <w:szCs w:val="24"/>
                <w:highlight w:val="none"/>
                <w14:textFill>
                  <w14:solidFill>
                    <w14:schemeClr w14:val="tx1"/>
                  </w14:solidFill>
                </w14:textFill>
              </w:rPr>
              <w:t>及砼结构构件生产线，同时配备相应的公用、辅助等设施，建成后达到</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年产，</w:t>
            </w:r>
            <w:r>
              <w:rPr>
                <w:rFonts w:hint="eastAsia" w:ascii="Times New Roman" w:hAnsi="Times New Roman" w:eastAsia="宋体"/>
                <w:bCs/>
                <w:color w:val="000000" w:themeColor="text1"/>
                <w:sz w:val="24"/>
                <w:szCs w:val="24"/>
                <w:highlight w:val="none"/>
                <w14:textFill>
                  <w14:solidFill>
                    <w14:schemeClr w14:val="tx1"/>
                  </w14:solidFill>
                </w14:textFill>
              </w:rPr>
              <w:t>混凝土</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4.44</w:t>
            </w:r>
            <w:r>
              <w:rPr>
                <w:rFonts w:hint="eastAsia" w:ascii="Times New Roman" w:hAnsi="Times New Roman" w:eastAsia="宋体"/>
                <w:bCs/>
                <w:color w:val="000000" w:themeColor="text1"/>
                <w:sz w:val="24"/>
                <w:szCs w:val="24"/>
                <w:highlight w:val="none"/>
                <w14:textFill>
                  <w14:solidFill>
                    <w14:schemeClr w14:val="tx1"/>
                  </w14:solidFill>
                </w14:textFill>
              </w:rPr>
              <w:t>万m</w:t>
            </w:r>
            <w:r>
              <w:rPr>
                <w:rFonts w:hint="eastAsia" w:ascii="Times New Roman" w:hAnsi="Times New Roman" w:eastAsia="宋体"/>
                <w:bCs/>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bCs/>
                <w:color w:val="000000" w:themeColor="text1"/>
                <w:sz w:val="24"/>
                <w:szCs w:val="24"/>
                <w:highlight w:val="none"/>
                <w14:textFill>
                  <w14:solidFill>
                    <w14:schemeClr w14:val="tx1"/>
                  </w14:solidFill>
                </w14:textFill>
              </w:rPr>
              <w:t>/a，预制梁</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288</w:t>
            </w:r>
            <w:r>
              <w:rPr>
                <w:rFonts w:hint="eastAsia" w:ascii="Times New Roman" w:hAnsi="Times New Roman" w:eastAsia="宋体"/>
                <w:bCs/>
                <w:color w:val="000000" w:themeColor="text1"/>
                <w:sz w:val="24"/>
                <w:szCs w:val="24"/>
                <w:highlight w:val="none"/>
                <w14:textFill>
                  <w14:solidFill>
                    <w14:schemeClr w14:val="tx1"/>
                  </w14:solidFill>
                </w14:textFill>
              </w:rPr>
              <w:t>片/年及</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钢筋结构件</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2800</w:t>
            </w:r>
            <w:r>
              <w:rPr>
                <w:rFonts w:hint="eastAsia" w:ascii="Times New Roman" w:hAnsi="Times New Roman" w:eastAsia="宋体"/>
                <w:bCs/>
                <w:color w:val="000000" w:themeColor="text1"/>
                <w:sz w:val="24"/>
                <w:szCs w:val="24"/>
                <w:highlight w:val="none"/>
                <w14:textFill>
                  <w14:solidFill>
                    <w14:schemeClr w14:val="tx1"/>
                  </w14:solidFill>
                </w14:textFill>
              </w:rPr>
              <w:t>t/a的生产能力。</w:t>
            </w:r>
          </w:p>
          <w:p w14:paraId="6B147C2C">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lang w:eastAsia="zh-CN"/>
                <w14:textFill>
                  <w14:solidFill>
                    <w14:schemeClr w14:val="tx1"/>
                  </w14:solidFill>
                </w14:textFill>
              </w:rPr>
              <w:t>三</w:t>
            </w:r>
            <w:r>
              <w:rPr>
                <w:rFonts w:hint="eastAsia" w:ascii="Times New Roman" w:hAnsi="Times New Roman" w:eastAsia="宋体"/>
                <w:b/>
                <w:color w:val="000000" w:themeColor="text1"/>
                <w:sz w:val="24"/>
                <w:szCs w:val="24"/>
                <w:highlight w:val="none"/>
                <w14:textFill>
                  <w14:solidFill>
                    <w14:schemeClr w14:val="tx1"/>
                  </w14:solidFill>
                </w14:textFill>
              </w:rPr>
              <w:t>、产品方案</w:t>
            </w:r>
          </w:p>
          <w:p w14:paraId="1CFDEA7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项目主要产品为混凝土</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、钢筋结构件</w:t>
            </w:r>
            <w:r>
              <w:rPr>
                <w:rFonts w:hint="eastAsia" w:ascii="Times New Roman" w:hAnsi="Times New Roman" w:eastAsia="宋体"/>
                <w:bCs/>
                <w:color w:val="000000" w:themeColor="text1"/>
                <w:sz w:val="24"/>
                <w:szCs w:val="24"/>
                <w:highlight w:val="none"/>
                <w14:textFill>
                  <w14:solidFill>
                    <w14:schemeClr w14:val="tx1"/>
                  </w14:solidFill>
                </w14:textFill>
              </w:rPr>
              <w:t>和预制件，产品方案如下：</w:t>
            </w:r>
          </w:p>
          <w:p w14:paraId="300FEE9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2-2    商品混凝土</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449"/>
              <w:gridCol w:w="1502"/>
              <w:gridCol w:w="1406"/>
              <w:gridCol w:w="1200"/>
              <w:gridCol w:w="1560"/>
              <w:gridCol w:w="924"/>
            </w:tblGrid>
            <w:tr w14:paraId="0EFDC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2CFD0DE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33" w:type="pct"/>
                  <w:vAlign w:val="center"/>
                </w:tcPr>
                <w:p w14:paraId="38B1167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74" w:type="pct"/>
                  <w:vAlign w:val="center"/>
                </w:tcPr>
                <w:p w14:paraId="349CAC3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总</w:t>
                  </w: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p>
              </w:tc>
              <w:tc>
                <w:tcPr>
                  <w:tcW w:w="746" w:type="pct"/>
                  <w:vAlign w:val="center"/>
                </w:tcPr>
                <w:p w14:paraId="32CE5A4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/年</w:t>
                  </w:r>
                </w:p>
              </w:tc>
              <w:tc>
                <w:tcPr>
                  <w:tcW w:w="970" w:type="pct"/>
                  <w:vAlign w:val="center"/>
                </w:tcPr>
                <w:p w14:paraId="662E162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574" w:type="pct"/>
                  <w:vAlign w:val="center"/>
                </w:tcPr>
                <w:p w14:paraId="6B2FC08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2D0393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2D12A45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C15</w:t>
                  </w:r>
                </w:p>
              </w:tc>
              <w:tc>
                <w:tcPr>
                  <w:tcW w:w="933" w:type="pct"/>
                  <w:vMerge w:val="restart"/>
                  <w:vAlign w:val="center"/>
                </w:tcPr>
                <w:p w14:paraId="165A015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K1811.214+100~K1832+369.184</w:t>
                  </w:r>
                </w:p>
              </w:tc>
              <w:tc>
                <w:tcPr>
                  <w:tcW w:w="874" w:type="pct"/>
                  <w:vAlign w:val="center"/>
                </w:tcPr>
                <w:p w14:paraId="5390294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6600</w:t>
                  </w:r>
                </w:p>
              </w:tc>
              <w:tc>
                <w:tcPr>
                  <w:tcW w:w="746" w:type="pct"/>
                  <w:vAlign w:val="center"/>
                </w:tcPr>
                <w:p w14:paraId="6B3DE7E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2200</w:t>
                  </w:r>
                </w:p>
              </w:tc>
              <w:tc>
                <w:tcPr>
                  <w:tcW w:w="970" w:type="pct"/>
                  <w:vMerge w:val="restart"/>
                  <w:vAlign w:val="center"/>
                </w:tcPr>
                <w:p w14:paraId="4383E3F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574" w:type="pct"/>
                  <w:vMerge w:val="restart"/>
                  <w:vAlign w:val="center"/>
                </w:tcPr>
                <w:p w14:paraId="5472610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其中约</w:t>
                  </w:r>
                  <w:r>
                    <w:rPr>
                      <w:rFonts w:hint="eastAsia" w:ascii="Times New Roman" w:hAnsi="Times New Roman" w:eastAsia="宋体"/>
                      <w:color w:val="000000" w:themeColor="text1"/>
                      <w:szCs w:val="21"/>
                      <w:highlight w:val="none"/>
                      <w:lang w:val="en-US" w:eastAsia="zh-CN"/>
                      <w14:textFill>
                        <w14:solidFill>
                          <w14:schemeClr w14:val="tx1"/>
                        </w14:solidFill>
                      </w14:textFill>
                    </w:rPr>
                    <w:t>10200m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szCs w:val="21"/>
                      <w:highlight w:val="none"/>
                      <w:lang w:val="en-US" w:eastAsia="zh-CN"/>
                      <w14:textFill>
                        <w14:solidFill>
                          <w14:schemeClr w14:val="tx1"/>
                        </w14:solidFill>
                      </w14:textFill>
                    </w:rPr>
                    <w:t>/a用于预制件生产，33900m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szCs w:val="21"/>
                      <w:highlight w:val="none"/>
                      <w:lang w:val="en-US" w:eastAsia="zh-CN"/>
                      <w14:textFill>
                        <w14:solidFill>
                          <w14:schemeClr w14:val="tx1"/>
                        </w14:solidFill>
                      </w14:textFill>
                    </w:rPr>
                    <w:t>/a用于成南高速主体工程施工</w:t>
                  </w:r>
                </w:p>
              </w:tc>
            </w:tr>
            <w:tr w14:paraId="611B24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7E2970C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C20</w:t>
                  </w:r>
                </w:p>
              </w:tc>
              <w:tc>
                <w:tcPr>
                  <w:tcW w:w="933" w:type="pct"/>
                  <w:vMerge w:val="continue"/>
                  <w:vAlign w:val="center"/>
                </w:tcPr>
                <w:p w14:paraId="7875B99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3A09644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48000</w:t>
                  </w:r>
                </w:p>
              </w:tc>
              <w:tc>
                <w:tcPr>
                  <w:tcW w:w="746" w:type="pct"/>
                  <w:vAlign w:val="center"/>
                </w:tcPr>
                <w:p w14:paraId="3F883D5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16000</w:t>
                  </w:r>
                </w:p>
              </w:tc>
              <w:tc>
                <w:tcPr>
                  <w:tcW w:w="970" w:type="pct"/>
                  <w:vMerge w:val="continue"/>
                  <w:vAlign w:val="center"/>
                </w:tcPr>
                <w:p w14:paraId="67B201F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23EFE76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03640B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06DDF35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C25</w:t>
                  </w:r>
                </w:p>
              </w:tc>
              <w:tc>
                <w:tcPr>
                  <w:tcW w:w="933" w:type="pct"/>
                  <w:vMerge w:val="continue"/>
                  <w:vAlign w:val="center"/>
                </w:tcPr>
                <w:p w14:paraId="7AECA20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33D3842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25500</w:t>
                  </w:r>
                </w:p>
              </w:tc>
              <w:tc>
                <w:tcPr>
                  <w:tcW w:w="746" w:type="pct"/>
                  <w:vAlign w:val="center"/>
                </w:tcPr>
                <w:p w14:paraId="7A1974A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8500</w:t>
                  </w:r>
                </w:p>
              </w:tc>
              <w:tc>
                <w:tcPr>
                  <w:tcW w:w="970" w:type="pct"/>
                  <w:vMerge w:val="continue"/>
                  <w:vAlign w:val="center"/>
                </w:tcPr>
                <w:p w14:paraId="71CC7FF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500C33B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3677D8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5029457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C30</w:t>
                  </w:r>
                </w:p>
              </w:tc>
              <w:tc>
                <w:tcPr>
                  <w:tcW w:w="933" w:type="pct"/>
                  <w:vMerge w:val="continue"/>
                  <w:vAlign w:val="center"/>
                </w:tcPr>
                <w:p w14:paraId="5185804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64F2BCC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24000</w:t>
                  </w:r>
                </w:p>
              </w:tc>
              <w:tc>
                <w:tcPr>
                  <w:tcW w:w="746" w:type="pct"/>
                  <w:vAlign w:val="center"/>
                </w:tcPr>
                <w:p w14:paraId="51785A6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8000</w:t>
                  </w:r>
                </w:p>
              </w:tc>
              <w:tc>
                <w:tcPr>
                  <w:tcW w:w="970" w:type="pct"/>
                  <w:vMerge w:val="continue"/>
                  <w:vAlign w:val="center"/>
                </w:tcPr>
                <w:p w14:paraId="54E5783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5B84AAC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36B866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3C5BFC2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C35</w:t>
                  </w:r>
                </w:p>
              </w:tc>
              <w:tc>
                <w:tcPr>
                  <w:tcW w:w="933" w:type="pct"/>
                  <w:vMerge w:val="continue"/>
                  <w:vAlign w:val="center"/>
                </w:tcPr>
                <w:p w14:paraId="6A4A557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2C90429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9600</w:t>
                  </w:r>
                </w:p>
              </w:tc>
              <w:tc>
                <w:tcPr>
                  <w:tcW w:w="746" w:type="pct"/>
                  <w:vAlign w:val="center"/>
                </w:tcPr>
                <w:p w14:paraId="78F6D7D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3200</w:t>
                  </w:r>
                </w:p>
              </w:tc>
              <w:tc>
                <w:tcPr>
                  <w:tcW w:w="970" w:type="pct"/>
                  <w:vMerge w:val="continue"/>
                  <w:vAlign w:val="center"/>
                </w:tcPr>
                <w:p w14:paraId="19A01F5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55DCDE1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71F207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041628A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C40</w:t>
                  </w:r>
                </w:p>
              </w:tc>
              <w:tc>
                <w:tcPr>
                  <w:tcW w:w="933" w:type="pct"/>
                  <w:vMerge w:val="continue"/>
                  <w:vAlign w:val="center"/>
                </w:tcPr>
                <w:p w14:paraId="395E223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705C75F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4500</w:t>
                  </w:r>
                </w:p>
              </w:tc>
              <w:tc>
                <w:tcPr>
                  <w:tcW w:w="746" w:type="pct"/>
                  <w:vAlign w:val="center"/>
                </w:tcPr>
                <w:p w14:paraId="73A78FD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1500</w:t>
                  </w:r>
                </w:p>
              </w:tc>
              <w:tc>
                <w:tcPr>
                  <w:tcW w:w="970" w:type="pct"/>
                  <w:vMerge w:val="continue"/>
                  <w:vAlign w:val="center"/>
                </w:tcPr>
                <w:p w14:paraId="622CC7B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4D0EAD7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39B883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0AF9A56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C50</w:t>
                  </w:r>
                </w:p>
              </w:tc>
              <w:tc>
                <w:tcPr>
                  <w:tcW w:w="933" w:type="pct"/>
                  <w:vMerge w:val="continue"/>
                  <w:vAlign w:val="center"/>
                </w:tcPr>
                <w:p w14:paraId="413E63B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44B1FE3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15000</w:t>
                  </w:r>
                </w:p>
              </w:tc>
              <w:tc>
                <w:tcPr>
                  <w:tcW w:w="746" w:type="pct"/>
                  <w:vAlign w:val="center"/>
                </w:tcPr>
                <w:p w14:paraId="1E03357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5000</w:t>
                  </w:r>
                </w:p>
              </w:tc>
              <w:tc>
                <w:tcPr>
                  <w:tcW w:w="970" w:type="pct"/>
                  <w:vMerge w:val="continue"/>
                  <w:vAlign w:val="center"/>
                </w:tcPr>
                <w:p w14:paraId="66526ED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4471E9E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0A2808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34" w:type="pct"/>
                  <w:gridSpan w:val="2"/>
                  <w:vAlign w:val="center"/>
                </w:tcPr>
                <w:p w14:paraId="0F02A83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合计</w:t>
                  </w:r>
                </w:p>
              </w:tc>
              <w:tc>
                <w:tcPr>
                  <w:tcW w:w="874" w:type="pct"/>
                  <w:vAlign w:val="center"/>
                </w:tcPr>
                <w:p w14:paraId="4998B29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133200</w:t>
                  </w:r>
                </w:p>
              </w:tc>
              <w:tc>
                <w:tcPr>
                  <w:tcW w:w="746" w:type="pct"/>
                  <w:vAlign w:val="center"/>
                </w:tcPr>
                <w:p w14:paraId="245F2E2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44400</w:t>
                  </w:r>
                </w:p>
              </w:tc>
              <w:tc>
                <w:tcPr>
                  <w:tcW w:w="970" w:type="pct"/>
                  <w:vMerge w:val="continue"/>
                  <w:vAlign w:val="center"/>
                </w:tcPr>
                <w:p w14:paraId="2FEA2D5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78D1FAF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bl>
          <w:p w14:paraId="7701CE1C">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2-3    预制梁</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98"/>
              <w:gridCol w:w="966"/>
              <w:gridCol w:w="1569"/>
              <w:gridCol w:w="1324"/>
              <w:gridCol w:w="1215"/>
              <w:gridCol w:w="1560"/>
              <w:gridCol w:w="909"/>
            </w:tblGrid>
            <w:tr w14:paraId="140429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0" w:type="pct"/>
                  <w:gridSpan w:val="2"/>
                  <w:vAlign w:val="center"/>
                </w:tcPr>
                <w:p w14:paraId="1D8DB55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75" w:type="pct"/>
                  <w:vAlign w:val="center"/>
                </w:tcPr>
                <w:p w14:paraId="7E9C4B3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23" w:type="pct"/>
                  <w:vAlign w:val="center"/>
                </w:tcPr>
                <w:p w14:paraId="007852B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p>
              </w:tc>
              <w:tc>
                <w:tcPr>
                  <w:tcW w:w="755" w:type="pct"/>
                  <w:vAlign w:val="center"/>
                </w:tcPr>
                <w:p w14:paraId="60D9A3E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产能片/年</w:t>
                  </w:r>
                </w:p>
              </w:tc>
              <w:tc>
                <w:tcPr>
                  <w:tcW w:w="970" w:type="pct"/>
                  <w:vAlign w:val="center"/>
                </w:tcPr>
                <w:p w14:paraId="16BDCD2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565" w:type="pct"/>
                  <w:vAlign w:val="center"/>
                </w:tcPr>
                <w:p w14:paraId="1E5228A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081637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309" w:type="pct"/>
                  <w:vMerge w:val="restart"/>
                  <w:vAlign w:val="center"/>
                </w:tcPr>
                <w:p w14:paraId="32F61AE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空心板梁</w:t>
                  </w:r>
                </w:p>
              </w:tc>
              <w:tc>
                <w:tcPr>
                  <w:tcW w:w="600" w:type="pct"/>
                  <w:vAlign w:val="center"/>
                </w:tcPr>
                <w:p w14:paraId="420E97E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跨径20m</w:t>
                  </w:r>
                </w:p>
              </w:tc>
              <w:tc>
                <w:tcPr>
                  <w:tcW w:w="975" w:type="pct"/>
                  <w:vMerge w:val="restart"/>
                  <w:vAlign w:val="center"/>
                </w:tcPr>
                <w:p w14:paraId="30D9CAB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K1811.214+100~K1832+369.184</w:t>
                  </w:r>
                </w:p>
              </w:tc>
              <w:tc>
                <w:tcPr>
                  <w:tcW w:w="1324" w:type="dxa"/>
                  <w:vAlign w:val="center"/>
                </w:tcPr>
                <w:p w14:paraId="7158256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794</w:t>
                  </w:r>
                </w:p>
              </w:tc>
              <w:tc>
                <w:tcPr>
                  <w:tcW w:w="1215" w:type="dxa"/>
                  <w:vAlign w:val="center"/>
                </w:tcPr>
                <w:p w14:paraId="6E73CFE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265</w:t>
                  </w:r>
                </w:p>
              </w:tc>
              <w:tc>
                <w:tcPr>
                  <w:tcW w:w="970" w:type="pct"/>
                  <w:vMerge w:val="restart"/>
                  <w:vAlign w:val="center"/>
                </w:tcPr>
                <w:p w14:paraId="660BE9F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909" w:type="dxa"/>
                  <w:vAlign w:val="center"/>
                </w:tcPr>
                <w:p w14:paraId="5260202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单片重约80t，尺寸：30</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m×1.8m×2m</w:t>
                  </w:r>
                </w:p>
              </w:tc>
            </w:tr>
            <w:tr w14:paraId="2AC029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309" w:type="pct"/>
                  <w:vMerge w:val="continue"/>
                  <w:vAlign w:val="center"/>
                </w:tcPr>
                <w:p w14:paraId="66015C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600" w:type="pct"/>
                  <w:vAlign w:val="center"/>
                </w:tcPr>
                <w:p w14:paraId="21DC29A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color w:val="000000" w:themeColor="text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跨径16m</w:t>
                  </w:r>
                </w:p>
              </w:tc>
              <w:tc>
                <w:tcPr>
                  <w:tcW w:w="975" w:type="pct"/>
                  <w:vMerge w:val="continue"/>
                  <w:vAlign w:val="center"/>
                </w:tcPr>
                <w:p w14:paraId="58BA87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1324" w:type="dxa"/>
                  <w:vAlign w:val="center"/>
                </w:tcPr>
                <w:p w14:paraId="2503CEE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color w:val="000000" w:themeColor="text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16</w:t>
                  </w:r>
                </w:p>
              </w:tc>
              <w:tc>
                <w:tcPr>
                  <w:tcW w:w="1215" w:type="dxa"/>
                  <w:vAlign w:val="center"/>
                </w:tcPr>
                <w:p w14:paraId="6D2477A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5</w:t>
                  </w:r>
                </w:p>
              </w:tc>
              <w:tc>
                <w:tcPr>
                  <w:tcW w:w="970" w:type="pct"/>
                  <w:vMerge w:val="continue"/>
                  <w:vAlign w:val="center"/>
                </w:tcPr>
                <w:p w14:paraId="5A5B70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p>
              </w:tc>
              <w:tc>
                <w:tcPr>
                  <w:tcW w:w="909" w:type="dxa"/>
                  <w:vAlign w:val="center"/>
                </w:tcPr>
                <w:p w14:paraId="79A3893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单片重约64t，尺寸：24</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m×1.8m×2m</w:t>
                  </w:r>
                </w:p>
              </w:tc>
            </w:tr>
            <w:tr w14:paraId="74C5DA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309" w:type="pct"/>
                  <w:vMerge w:val="continue"/>
                  <w:vAlign w:val="center"/>
                </w:tcPr>
                <w:p w14:paraId="74FD463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600" w:type="pct"/>
                  <w:vAlign w:val="center"/>
                </w:tcPr>
                <w:p w14:paraId="69D7F06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跨径13m</w:t>
                  </w:r>
                </w:p>
              </w:tc>
              <w:tc>
                <w:tcPr>
                  <w:tcW w:w="975" w:type="pct"/>
                  <w:vMerge w:val="continue"/>
                  <w:vAlign w:val="center"/>
                </w:tcPr>
                <w:p w14:paraId="5BD1F81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1324" w:type="dxa"/>
                  <w:vAlign w:val="center"/>
                </w:tcPr>
                <w:p w14:paraId="43B7B24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54</w:t>
                  </w:r>
                </w:p>
              </w:tc>
              <w:tc>
                <w:tcPr>
                  <w:tcW w:w="1215" w:type="dxa"/>
                  <w:vAlign w:val="center"/>
                </w:tcPr>
                <w:p w14:paraId="722841C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18</w:t>
                  </w:r>
                </w:p>
              </w:tc>
              <w:tc>
                <w:tcPr>
                  <w:tcW w:w="970" w:type="pct"/>
                  <w:vMerge w:val="continue"/>
                  <w:vAlign w:val="center"/>
                </w:tcPr>
                <w:p w14:paraId="28D7759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p>
              </w:tc>
              <w:tc>
                <w:tcPr>
                  <w:tcW w:w="909" w:type="dxa"/>
                  <w:vAlign w:val="center"/>
                </w:tcPr>
                <w:p w14:paraId="6E11986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单片重约55t，尺寸：20</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m×1.8m×2m</w:t>
                  </w:r>
                </w:p>
              </w:tc>
            </w:tr>
            <w:tr w14:paraId="531F0C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85" w:type="pct"/>
                  <w:gridSpan w:val="3"/>
                  <w:vAlign w:val="center"/>
                </w:tcPr>
                <w:p w14:paraId="6A7F103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合计</w:t>
                  </w:r>
                </w:p>
              </w:tc>
              <w:tc>
                <w:tcPr>
                  <w:tcW w:w="1324" w:type="dxa"/>
                  <w:vAlign w:val="center"/>
                </w:tcPr>
                <w:p w14:paraId="12C0979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864</w:t>
                  </w:r>
                </w:p>
              </w:tc>
              <w:tc>
                <w:tcPr>
                  <w:tcW w:w="1215" w:type="dxa"/>
                  <w:vAlign w:val="center"/>
                </w:tcPr>
                <w:p w14:paraId="43CADC1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288</w:t>
                  </w:r>
                </w:p>
              </w:tc>
              <w:tc>
                <w:tcPr>
                  <w:tcW w:w="970" w:type="pct"/>
                  <w:vMerge w:val="continue"/>
                  <w:vAlign w:val="center"/>
                </w:tcPr>
                <w:p w14:paraId="1CF05CB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p>
              </w:tc>
              <w:tc>
                <w:tcPr>
                  <w:tcW w:w="565" w:type="pct"/>
                  <w:vAlign w:val="center"/>
                </w:tcPr>
                <w:p w14:paraId="3F9070A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r>
          </w:tbl>
          <w:p w14:paraId="25FF6F8D">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2-4    钢筋结构件</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495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462"/>
              <w:gridCol w:w="1586"/>
              <w:gridCol w:w="1309"/>
              <w:gridCol w:w="1215"/>
              <w:gridCol w:w="1050"/>
              <w:gridCol w:w="1351"/>
            </w:tblGrid>
            <w:tr w14:paraId="4F066F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6" w:type="pct"/>
                  <w:vAlign w:val="center"/>
                </w:tcPr>
                <w:p w14:paraId="69959B0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94" w:type="pct"/>
                  <w:vAlign w:val="center"/>
                </w:tcPr>
                <w:p w14:paraId="43D5AE8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20" w:type="pct"/>
                  <w:vAlign w:val="center"/>
                </w:tcPr>
                <w:p w14:paraId="690363B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t</w:t>
                  </w:r>
                </w:p>
              </w:tc>
              <w:tc>
                <w:tcPr>
                  <w:tcW w:w="761" w:type="pct"/>
                  <w:vAlign w:val="center"/>
                </w:tcPr>
                <w:p w14:paraId="2808408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产能t/年</w:t>
                  </w:r>
                </w:p>
              </w:tc>
              <w:tc>
                <w:tcPr>
                  <w:tcW w:w="658" w:type="pct"/>
                  <w:vAlign w:val="center"/>
                </w:tcPr>
                <w:p w14:paraId="6D64304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847" w:type="pct"/>
                  <w:vAlign w:val="center"/>
                </w:tcPr>
                <w:p w14:paraId="77DF820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096D8F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6" w:type="pct"/>
                  <w:vAlign w:val="center"/>
                </w:tcPr>
                <w:p w14:paraId="7FEDFE0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HPB300钢筋</w:t>
                  </w:r>
                </w:p>
              </w:tc>
              <w:tc>
                <w:tcPr>
                  <w:tcW w:w="994" w:type="pct"/>
                  <w:vMerge w:val="restart"/>
                  <w:vAlign w:val="center"/>
                </w:tcPr>
                <w:p w14:paraId="24CB9CF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K1811.214+100~K1832+369.184</w:t>
                  </w:r>
                </w:p>
              </w:tc>
              <w:tc>
                <w:tcPr>
                  <w:tcW w:w="820" w:type="pct"/>
                  <w:vAlign w:val="center"/>
                </w:tcPr>
                <w:p w14:paraId="3A0F405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1200</w:t>
                  </w:r>
                </w:p>
              </w:tc>
              <w:tc>
                <w:tcPr>
                  <w:tcW w:w="761" w:type="pct"/>
                  <w:vAlign w:val="center"/>
                </w:tcPr>
                <w:p w14:paraId="2B4B4D4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400</w:t>
                  </w:r>
                </w:p>
              </w:tc>
              <w:tc>
                <w:tcPr>
                  <w:tcW w:w="658" w:type="pct"/>
                  <w:vMerge w:val="restart"/>
                  <w:vAlign w:val="center"/>
                </w:tcPr>
                <w:p w14:paraId="2F129F3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847" w:type="pct"/>
                  <w:vMerge w:val="restart"/>
                  <w:vAlign w:val="center"/>
                </w:tcPr>
                <w:p w14:paraId="3E55EED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其中约</w:t>
                  </w:r>
                  <w:r>
                    <w:rPr>
                      <w:rFonts w:hint="eastAsia" w:ascii="Times New Roman" w:hAnsi="Times New Roman" w:eastAsia="宋体"/>
                      <w:color w:val="000000" w:themeColor="text1"/>
                      <w:szCs w:val="21"/>
                      <w:highlight w:val="none"/>
                      <w:lang w:val="en-US" w:eastAsia="zh-CN"/>
                      <w14:textFill>
                        <w14:solidFill>
                          <w14:schemeClr w14:val="tx1"/>
                        </w14:solidFill>
                      </w14:textFill>
                    </w:rPr>
                    <w:t>2682t/a用于预制件生产，118t/a用于成南高速主体工程施工</w:t>
                  </w:r>
                </w:p>
              </w:tc>
            </w:tr>
            <w:tr w14:paraId="635490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6" w:type="pct"/>
                  <w:vAlign w:val="center"/>
                </w:tcPr>
                <w:p w14:paraId="3D5F6F9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H</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R</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B</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00钢筋</w:t>
                  </w:r>
                </w:p>
              </w:tc>
              <w:tc>
                <w:tcPr>
                  <w:tcW w:w="994" w:type="pct"/>
                  <w:vMerge w:val="continue"/>
                  <w:vAlign w:val="center"/>
                </w:tcPr>
                <w:p w14:paraId="46521F7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820" w:type="pct"/>
                  <w:vAlign w:val="center"/>
                </w:tcPr>
                <w:p w14:paraId="37F739B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7200</w:t>
                  </w:r>
                </w:p>
              </w:tc>
              <w:tc>
                <w:tcPr>
                  <w:tcW w:w="761" w:type="pct"/>
                  <w:vAlign w:val="center"/>
                </w:tcPr>
                <w:p w14:paraId="1ECD99F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2400</w:t>
                  </w:r>
                </w:p>
              </w:tc>
              <w:tc>
                <w:tcPr>
                  <w:tcW w:w="658" w:type="pct"/>
                  <w:vMerge w:val="continue"/>
                  <w:vAlign w:val="center"/>
                </w:tcPr>
                <w:p w14:paraId="70CFD64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847" w:type="pct"/>
                  <w:vMerge w:val="continue"/>
                  <w:vAlign w:val="center"/>
                </w:tcPr>
                <w:p w14:paraId="1CE5973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r>
            <w:tr w14:paraId="3E64C8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911" w:type="pct"/>
                  <w:gridSpan w:val="2"/>
                  <w:vAlign w:val="center"/>
                </w:tcPr>
                <w:p w14:paraId="5152FC5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合计</w:t>
                  </w:r>
                </w:p>
              </w:tc>
              <w:tc>
                <w:tcPr>
                  <w:tcW w:w="820" w:type="pct"/>
                  <w:vAlign w:val="center"/>
                </w:tcPr>
                <w:p w14:paraId="062ADBF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8400</w:t>
                  </w:r>
                </w:p>
              </w:tc>
              <w:tc>
                <w:tcPr>
                  <w:tcW w:w="761" w:type="pct"/>
                  <w:vAlign w:val="center"/>
                </w:tcPr>
                <w:p w14:paraId="2714512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2800</w:t>
                  </w:r>
                </w:p>
              </w:tc>
              <w:tc>
                <w:tcPr>
                  <w:tcW w:w="658" w:type="pct"/>
                  <w:vMerge w:val="continue"/>
                  <w:vAlign w:val="center"/>
                </w:tcPr>
                <w:p w14:paraId="079C13E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847" w:type="pct"/>
                  <w:vMerge w:val="continue"/>
                  <w:vAlign w:val="center"/>
                </w:tcPr>
                <w:p w14:paraId="16F9362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r>
          </w:tbl>
          <w:p w14:paraId="5B59E805">
            <w:pPr>
              <w:spacing w:line="500" w:lineRule="exact"/>
              <w:ind w:firstLine="480"/>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产品方案关联图：</w:t>
            </w:r>
          </w:p>
          <w:p w14:paraId="3D5E2B01">
            <w:pPr>
              <w:spacing w:line="240" w:lineRule="auto"/>
              <w:jc w:val="center"/>
              <w:rPr>
                <w:rFonts w:hint="default" w:ascii="Times New Roman" w:hAnsi="Times New Roman" w:eastAsia="宋体"/>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object>
                <v:shape id="_x0000_i1025" o:spt="75" type="#_x0000_t75" style="height:168.35pt;width:402.45pt;" o:ole="t" filled="f" o:preferrelative="t" stroked="f" coordsize="21600,21600">
                  <v:path/>
                  <v:fill on="f" focussize="0,0"/>
                  <v:stroke on="f"/>
                  <v:imagedata r:id="rId12" o:title=""/>
                  <o:lock v:ext="edit" aspectratio="f"/>
                  <w10:wrap type="none"/>
                  <w10:anchorlock/>
                </v:shape>
                <o:OLEObject Type="Embed" ProgID="Visio.Drawing.15" ShapeID="_x0000_i1025" DrawAspect="Content" ObjectID="_1468075725" r:id="rId11">
                  <o:LockedField>false</o:LockedField>
                </o:OLEObject>
              </w:object>
            </w:r>
            <w:r>
              <w:rPr>
                <w:rFonts w:hint="eastAsia" w:ascii="Times New Roman" w:hAnsi="Times New Roman" w:eastAsia="宋体"/>
                <w:b/>
                <w:bCs/>
                <w:color w:val="000000" w:themeColor="text1"/>
                <w:sz w:val="21"/>
                <w:szCs w:val="21"/>
                <w:highlight w:val="none"/>
                <w:lang w:eastAsia="zh-CN"/>
                <w14:textFill>
                  <w14:solidFill>
                    <w14:schemeClr w14:val="tx1"/>
                  </w14:solidFill>
                </w14:textFill>
              </w:rPr>
              <w:t>图</w:t>
            </w:r>
            <w:r>
              <w:rPr>
                <w:rFonts w:hint="eastAsia" w:ascii="Times New Roman" w:hAnsi="Times New Roman" w:eastAsia="宋体"/>
                <w:b/>
                <w:bCs/>
                <w:color w:val="000000" w:themeColor="text1"/>
                <w:sz w:val="21"/>
                <w:szCs w:val="21"/>
                <w:highlight w:val="none"/>
                <w:lang w:val="en-US" w:eastAsia="zh-CN"/>
                <w14:textFill>
                  <w14:solidFill>
                    <w14:schemeClr w14:val="tx1"/>
                  </w14:solidFill>
                </w14:textFill>
              </w:rPr>
              <w:t>2-1    本项目</w:t>
            </w:r>
            <w:r>
              <w:rPr>
                <w:rFonts w:hint="eastAsia" w:ascii="Times New Roman" w:hAnsi="Times New Roman" w:eastAsia="宋体"/>
                <w:b/>
                <w:bCs/>
                <w:color w:val="000000" w:themeColor="text1"/>
                <w:sz w:val="21"/>
                <w:szCs w:val="21"/>
                <w:highlight w:val="none"/>
                <w:lang w:eastAsia="zh-CN"/>
                <w14:textFill>
                  <w14:solidFill>
                    <w14:schemeClr w14:val="tx1"/>
                  </w14:solidFill>
                </w14:textFill>
              </w:rPr>
              <w:t>产品方案关联图</w:t>
            </w:r>
          </w:p>
          <w:p w14:paraId="697BF691">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根据《预拌混凝土》（GB/T14902-2012）对预拌混凝土的质量要求如下。</w:t>
            </w:r>
          </w:p>
          <w:p w14:paraId="076C3DE6">
            <w:pPr>
              <w:keepNext w:val="0"/>
              <w:keepLines w:val="0"/>
              <w:pageBreakBefore w:val="0"/>
              <w:widowControl w:val="0"/>
              <w:numPr>
                <w:ilvl w:val="0"/>
                <w:numId w:val="4"/>
              </w:numPr>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强度：混凝土强度应满足设计要求，检验评定应符合GB/T50107-2010的规定。</w:t>
            </w:r>
          </w:p>
          <w:p w14:paraId="4AA32C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（2）坍落度和坍落度经时损失：混凝土坍落度实测值与控制目标值的允 许偏差应符合下表2-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4"/>
                <w:highlight w:val="none"/>
                <w14:textFill>
                  <w14:solidFill>
                    <w14:schemeClr w14:val="tx1"/>
                  </w14:solidFill>
                </w14:textFill>
              </w:rPr>
              <w:t>的规定。常规品的泵送混凝土坍落度控制目标值不宜 大于180mm，并应满足施工要求，坍落度经时损失不宜大于30mm/h；特制品混凝土坍落度应满足相关标准规定和施工要求。</w:t>
            </w:r>
          </w:p>
          <w:p w14:paraId="27761DC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right"/>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表2-</w:t>
            </w:r>
            <w:r>
              <w:rPr>
                <w:rFonts w:hint="eastAsia" w:ascii="Times New Roman" w:hAnsi="Times New Roman" w:eastAsia="宋体"/>
                <w:b/>
                <w:color w:val="000000" w:themeColor="text1"/>
                <w:szCs w:val="21"/>
                <w:highlight w:val="none"/>
                <w:lang w:val="en-US" w:eastAsia="zh-CN"/>
                <w14:textFill>
                  <w14:solidFill>
                    <w14:schemeClr w14:val="tx1"/>
                  </w14:solidFill>
                </w14:textFill>
              </w:rPr>
              <w:t>5</w:t>
            </w:r>
            <w:r>
              <w:rPr>
                <w:rFonts w:hint="eastAsia" w:ascii="Times New Roman" w:hAnsi="Times New Roman" w:eastAsia="宋体"/>
                <w:b/>
                <w:color w:val="000000" w:themeColor="text1"/>
                <w:szCs w:val="21"/>
                <w:highlight w:val="none"/>
                <w14:textFill>
                  <w14:solidFill>
                    <w14:schemeClr w14:val="tx1"/>
                  </w14:solidFill>
                </w14:textFill>
              </w:rPr>
              <w:t xml:space="preserve">    混凝土拌合轫稠度允许偏差      </w:t>
            </w:r>
            <w:r>
              <w:rPr>
                <w:rFonts w:hint="eastAsia" w:ascii="Times New Roman" w:hAnsi="Times New Roman" w:eastAsia="宋体"/>
                <w:b/>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color w:val="000000" w:themeColor="text1"/>
                <w:szCs w:val="21"/>
                <w:highlight w:val="none"/>
                <w14:textFill>
                  <w14:solidFill>
                    <w14:schemeClr w14:val="tx1"/>
                  </w14:solidFill>
                </w14:textFill>
              </w:rPr>
              <w:t xml:space="preserve">   单位：mm</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91"/>
              <w:gridCol w:w="2554"/>
              <w:gridCol w:w="2893"/>
            </w:tblGrid>
            <w:tr w14:paraId="737CE1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tcBorders>
                    <w:tl2br w:val="nil"/>
                    <w:tr2bl w:val="nil"/>
                  </w:tcBorders>
                  <w:vAlign w:val="center"/>
                </w:tcPr>
                <w:p w14:paraId="6DB5B7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hint="eastAsia" w:ascii="Times New Roman" w:hAnsi="Times New Roman" w:eastAsia="宋体"/>
                      <w:b/>
                      <w:color w:val="000000" w:themeColor="text1"/>
                      <w:szCs w:val="21"/>
                      <w:highlight w:val="none"/>
                      <w14:textFill>
                        <w14:solidFill>
                          <w14:schemeClr w14:val="tx1"/>
                        </w14:solidFill>
                      </w14:textFill>
                    </w:rPr>
                    <w:t>项目</w:t>
                  </w:r>
                </w:p>
              </w:tc>
              <w:tc>
                <w:tcPr>
                  <w:tcW w:w="1588" w:type="pct"/>
                  <w:tcBorders>
                    <w:tl2br w:val="nil"/>
                    <w:tr2bl w:val="nil"/>
                  </w:tcBorders>
                  <w:vAlign w:val="center"/>
                </w:tcPr>
                <w:p w14:paraId="442719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hint="eastAsia" w:ascii="Times New Roman" w:hAnsi="Times New Roman" w:eastAsia="宋体"/>
                      <w:b/>
                      <w:color w:val="000000" w:themeColor="text1"/>
                      <w:szCs w:val="21"/>
                      <w:highlight w:val="none"/>
                      <w14:textFill>
                        <w14:solidFill>
                          <w14:schemeClr w14:val="tx1"/>
                        </w14:solidFill>
                      </w14:textFill>
                    </w:rPr>
                    <w:t>控制项目标值</w:t>
                  </w:r>
                </w:p>
              </w:tc>
              <w:tc>
                <w:tcPr>
                  <w:tcW w:w="1799" w:type="pct"/>
                  <w:tcBorders>
                    <w:tl2br w:val="nil"/>
                    <w:tr2bl w:val="nil"/>
                  </w:tcBorders>
                  <w:vAlign w:val="center"/>
                </w:tcPr>
                <w:p w14:paraId="2363C37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hint="eastAsia" w:ascii="Times New Roman" w:hAnsi="Times New Roman" w:eastAsia="宋体"/>
                      <w:b/>
                      <w:color w:val="000000" w:themeColor="text1"/>
                      <w:szCs w:val="21"/>
                      <w:highlight w:val="none"/>
                      <w14:textFill>
                        <w14:solidFill>
                          <w14:schemeClr w14:val="tx1"/>
                        </w14:solidFill>
                      </w14:textFill>
                    </w:rPr>
                    <w:t>允许偏差</w:t>
                  </w:r>
                </w:p>
              </w:tc>
            </w:tr>
            <w:tr w14:paraId="30A48C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vMerge w:val="restart"/>
                  <w:tcBorders>
                    <w:tl2br w:val="nil"/>
                    <w:tr2bl w:val="nil"/>
                  </w:tcBorders>
                  <w:vAlign w:val="center"/>
                </w:tcPr>
                <w:p w14:paraId="338FC7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坍落度</w:t>
                  </w:r>
                </w:p>
              </w:tc>
              <w:tc>
                <w:tcPr>
                  <w:tcW w:w="1588" w:type="pct"/>
                  <w:tcBorders>
                    <w:tl2br w:val="nil"/>
                    <w:tr2bl w:val="nil"/>
                  </w:tcBorders>
                  <w:vAlign w:val="center"/>
                </w:tcPr>
                <w:p w14:paraId="59DC2A7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≤40</w:t>
                  </w:r>
                </w:p>
              </w:tc>
              <w:tc>
                <w:tcPr>
                  <w:tcW w:w="1799" w:type="pct"/>
                  <w:tcBorders>
                    <w:tl2br w:val="nil"/>
                    <w:tr2bl w:val="nil"/>
                  </w:tcBorders>
                  <w:vAlign w:val="center"/>
                </w:tcPr>
                <w:p w14:paraId="011D17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±10</w:t>
                  </w:r>
                </w:p>
              </w:tc>
            </w:tr>
            <w:tr w14:paraId="2AC599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vMerge w:val="continue"/>
                  <w:tcBorders>
                    <w:tl2br w:val="nil"/>
                    <w:tr2bl w:val="nil"/>
                  </w:tcBorders>
                  <w:vAlign w:val="center"/>
                </w:tcPr>
                <w:p w14:paraId="05DA4A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1588" w:type="pct"/>
                  <w:tcBorders>
                    <w:tl2br w:val="nil"/>
                    <w:tr2bl w:val="nil"/>
                  </w:tcBorders>
                  <w:vAlign w:val="center"/>
                </w:tcPr>
                <w:p w14:paraId="4C60B3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50~90</w:t>
                  </w:r>
                </w:p>
              </w:tc>
              <w:tc>
                <w:tcPr>
                  <w:tcW w:w="1799" w:type="pct"/>
                  <w:tcBorders>
                    <w:tl2br w:val="nil"/>
                    <w:tr2bl w:val="nil"/>
                  </w:tcBorders>
                  <w:vAlign w:val="center"/>
                </w:tcPr>
                <w:p w14:paraId="1E750F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±20</w:t>
                  </w:r>
                </w:p>
              </w:tc>
            </w:tr>
            <w:tr w14:paraId="38C9B8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vMerge w:val="continue"/>
                  <w:tcBorders>
                    <w:tl2br w:val="nil"/>
                    <w:tr2bl w:val="nil"/>
                  </w:tcBorders>
                  <w:vAlign w:val="center"/>
                </w:tcPr>
                <w:p w14:paraId="0A93B6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1588" w:type="pct"/>
                  <w:tcBorders>
                    <w:tl2br w:val="nil"/>
                    <w:tr2bl w:val="nil"/>
                  </w:tcBorders>
                  <w:vAlign w:val="center"/>
                </w:tcPr>
                <w:p w14:paraId="172893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≥100</w:t>
                  </w:r>
                </w:p>
              </w:tc>
              <w:tc>
                <w:tcPr>
                  <w:tcW w:w="1799" w:type="pct"/>
                  <w:tcBorders>
                    <w:tl2br w:val="nil"/>
                    <w:tr2bl w:val="nil"/>
                  </w:tcBorders>
                  <w:vAlign w:val="center"/>
                </w:tcPr>
                <w:p w14:paraId="79B98E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±30</w:t>
                  </w:r>
                </w:p>
              </w:tc>
            </w:tr>
            <w:tr w14:paraId="3EAE6E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tcBorders>
                    <w:tl2br w:val="nil"/>
                    <w:tr2bl w:val="nil"/>
                  </w:tcBorders>
                  <w:vAlign w:val="center"/>
                </w:tcPr>
                <w:p w14:paraId="63DB38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扩展度</w:t>
                  </w:r>
                </w:p>
              </w:tc>
              <w:tc>
                <w:tcPr>
                  <w:tcW w:w="1588" w:type="pct"/>
                  <w:tcBorders>
                    <w:tl2br w:val="nil"/>
                    <w:tr2bl w:val="nil"/>
                  </w:tcBorders>
                  <w:vAlign w:val="center"/>
                </w:tcPr>
                <w:p w14:paraId="52D290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≥350</w:t>
                  </w:r>
                </w:p>
              </w:tc>
              <w:tc>
                <w:tcPr>
                  <w:tcW w:w="1799" w:type="pct"/>
                  <w:tcBorders>
                    <w:tl2br w:val="nil"/>
                    <w:tr2bl w:val="nil"/>
                  </w:tcBorders>
                  <w:vAlign w:val="center"/>
                </w:tcPr>
                <w:p w14:paraId="2B245A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±30</w:t>
                  </w:r>
                </w:p>
              </w:tc>
            </w:tr>
          </w:tbl>
          <w:p w14:paraId="638BD0BC">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 xml:space="preserve">扩展度：扩展度实浏值与拄制目标值的允许偏差宜符合上表的规定。 自密实混凝土扩展度拄制目标值不宜小于550mm，并应满足施工要求。 </w:t>
            </w:r>
          </w:p>
          <w:p w14:paraId="7715A8E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（4）含气量：混凝土含气量实测值不宜大于7%，并与合同规定值的允许偏差不宜超过±1.0%。</w:t>
            </w:r>
          </w:p>
          <w:p w14:paraId="2C46A6D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（5）耐久性能：混凝土耐久性能应满足设计要求，检验评定应符合JGJ/T193的规定。</w:t>
            </w:r>
          </w:p>
          <w:p w14:paraId="4CE1AF7A">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lang w:eastAsia="zh-CN"/>
                <w14:textFill>
                  <w14:solidFill>
                    <w14:schemeClr w14:val="tx1"/>
                  </w14:solidFill>
                </w14:textFill>
              </w:rPr>
              <w:t>四</w:t>
            </w:r>
            <w:r>
              <w:rPr>
                <w:rFonts w:hint="eastAsia" w:ascii="Times New Roman" w:hAnsi="Times New Roman" w:eastAsia="宋体"/>
                <w:b/>
                <w:bCs/>
                <w:color w:val="000000" w:themeColor="text1"/>
                <w:sz w:val="24"/>
                <w:szCs w:val="24"/>
                <w:highlight w:val="none"/>
                <w14:textFill>
                  <w14:solidFill>
                    <w14:schemeClr w14:val="tx1"/>
                  </w14:solidFill>
                </w14:textFill>
              </w:rPr>
              <w:t>、项目组成</w:t>
            </w:r>
          </w:p>
          <w:p w14:paraId="3BC74C8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highlight w:val="none"/>
                <w14:textFill>
                  <w14:solidFill>
                    <w14:schemeClr w14:val="tx1"/>
                  </w14:solidFill>
                </w14:textFill>
              </w:rPr>
              <w:t>本项目主要包括主体工程、辅助工程、公用工程和环保工程等</w:t>
            </w:r>
            <w:r>
              <w:rPr>
                <w:rFonts w:hint="eastAsia" w:ascii="宋体" w:hAnsi="宋体" w:eastAsia="宋体"/>
                <w:color w:val="000000" w:themeColor="text1"/>
                <w:sz w:val="24"/>
                <w:highlight w:val="none"/>
                <w:lang w:eastAsia="zh-CN"/>
                <w14:textFill>
                  <w14:solidFill>
                    <w14:schemeClr w14:val="tx1"/>
                  </w14:solidFill>
                </w14:textFill>
              </w:rPr>
              <w:t>，项目不设置实验室</w:t>
            </w:r>
            <w:r>
              <w:rPr>
                <w:rFonts w:hint="eastAsia" w:ascii="宋体" w:hAnsi="宋体" w:eastAsia="宋体"/>
                <w:color w:val="000000" w:themeColor="text1"/>
                <w:sz w:val="24"/>
                <w:highlight w:val="none"/>
                <w14:textFill>
                  <w14:solidFill>
                    <w14:schemeClr w14:val="tx1"/>
                  </w14:solidFill>
                </w14:textFill>
              </w:rPr>
              <w:t>。</w:t>
            </w:r>
            <w:r>
              <w:rPr>
                <w:rFonts w:hint="eastAsia" w:ascii="宋体" w:hAnsi="宋体" w:eastAsia="宋体"/>
                <w:color w:val="000000" w:themeColor="text1"/>
                <w:sz w:val="24"/>
                <w:highlight w:val="none"/>
                <w:lang w:eastAsia="zh-CN"/>
                <w14:textFill>
                  <w14:solidFill>
                    <w14:schemeClr w14:val="tx1"/>
                  </w14:solidFill>
                </w14:textFill>
              </w:rPr>
              <w:t>项目所有生产活动均在密闭厂房内进行，</w:t>
            </w:r>
            <w:r>
              <w:rPr>
                <w:rFonts w:hint="eastAsia" w:ascii="宋体" w:hAnsi="宋体" w:eastAsia="宋体"/>
                <w:color w:val="000000" w:themeColor="text1"/>
                <w:sz w:val="24"/>
                <w:highlight w:val="none"/>
                <w14:textFill>
                  <w14:solidFill>
                    <w14:schemeClr w14:val="tx1"/>
                  </w14:solidFill>
                </w14:textFill>
              </w:rPr>
              <w:t>具体工程内容详见</w:t>
            </w:r>
            <w:r>
              <w:rPr>
                <w:rFonts w:ascii="Times New Roman" w:hAnsi="Times New Roman" w:eastAsia="宋体"/>
                <w:color w:val="000000" w:themeColor="text1"/>
                <w:sz w:val="24"/>
                <w:highlight w:val="none"/>
                <w14:textFill>
                  <w14:solidFill>
                    <w14:schemeClr w14:val="tx1"/>
                  </w14:solidFill>
                </w14:textFill>
              </w:rPr>
              <w:t>下表2-</w:t>
            </w:r>
            <w:r>
              <w:rPr>
                <w:rFonts w:hint="eastAsia" w:ascii="Times New Roman" w:hAnsi="Times New Roman" w:eastAsia="宋体"/>
                <w:color w:val="000000" w:themeColor="text1"/>
                <w:sz w:val="24"/>
                <w:highlight w:val="none"/>
                <w:lang w:val="en-US" w:eastAsia="zh-CN"/>
                <w14:textFill>
                  <w14:solidFill>
                    <w14:schemeClr w14:val="tx1"/>
                  </w14:solidFill>
                </w14:textFill>
              </w:rPr>
              <w:t>6</w:t>
            </w:r>
            <w:r>
              <w:rPr>
                <w:rFonts w:ascii="Times New Roman" w:hAnsi="Times New Roman" w:eastAsia="宋体"/>
                <w:color w:val="000000" w:themeColor="text1"/>
                <w:sz w:val="24"/>
                <w:highlight w:val="none"/>
                <w14:textFill>
                  <w14:solidFill>
                    <w14:schemeClr w14:val="tx1"/>
                  </w14:solidFill>
                </w14:textFill>
              </w:rPr>
              <w:t>。</w:t>
            </w:r>
          </w:p>
          <w:p w14:paraId="48143146">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6</w:t>
            </w:r>
            <w:r>
              <w:rPr>
                <w:rFonts w:ascii="Times New Roman" w:hAnsi="Times New Roman" w:eastAsia="宋体"/>
                <w:b/>
                <w:bCs/>
                <w:color w:val="000000" w:themeColor="text1"/>
                <w:kern w:val="0"/>
                <w:szCs w:val="21"/>
                <w:highlight w:val="none"/>
                <w14:textFill>
                  <w14:solidFill>
                    <w14:schemeClr w14:val="tx1"/>
                  </w14:solidFill>
                </w14:textFill>
              </w:rPr>
              <w:t xml:space="preserve">    项目组成及环境影响因素表</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28"/>
              <w:gridCol w:w="930"/>
              <w:gridCol w:w="4223"/>
              <w:gridCol w:w="1202"/>
              <w:gridCol w:w="958"/>
            </w:tblGrid>
            <w:tr w14:paraId="5B1E0A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blHeader/>
                <w:jc w:val="center"/>
              </w:trPr>
              <w:tc>
                <w:tcPr>
                  <w:tcW w:w="1658" w:type="dxa"/>
                  <w:gridSpan w:val="2"/>
                  <w:vMerge w:val="restart"/>
                  <w:vAlign w:val="center"/>
                </w:tcPr>
                <w:p w14:paraId="1C61F96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项目</w:t>
                  </w:r>
                </w:p>
              </w:tc>
              <w:tc>
                <w:tcPr>
                  <w:tcW w:w="4223" w:type="dxa"/>
                  <w:vMerge w:val="restart"/>
                  <w:vAlign w:val="center"/>
                </w:tcPr>
                <w:p w14:paraId="618E304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工程内容及规模</w:t>
                  </w:r>
                </w:p>
              </w:tc>
              <w:tc>
                <w:tcPr>
                  <w:tcW w:w="2160" w:type="dxa"/>
                  <w:gridSpan w:val="2"/>
                  <w:vAlign w:val="center"/>
                </w:tcPr>
                <w:p w14:paraId="1ABE3BD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可能造成的环境影响</w:t>
                  </w:r>
                </w:p>
              </w:tc>
            </w:tr>
            <w:tr w14:paraId="11EAEC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blHeader/>
                <w:jc w:val="center"/>
              </w:trPr>
              <w:tc>
                <w:tcPr>
                  <w:tcW w:w="1658" w:type="dxa"/>
                  <w:gridSpan w:val="2"/>
                  <w:vMerge w:val="continue"/>
                  <w:vAlign w:val="center"/>
                </w:tcPr>
                <w:p w14:paraId="40C1B95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p>
              </w:tc>
              <w:tc>
                <w:tcPr>
                  <w:tcW w:w="4223" w:type="dxa"/>
                  <w:vMerge w:val="continue"/>
                  <w:vAlign w:val="center"/>
                </w:tcPr>
                <w:p w14:paraId="7548FA4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p>
              </w:tc>
              <w:tc>
                <w:tcPr>
                  <w:tcW w:w="1202" w:type="dxa"/>
                  <w:vAlign w:val="center"/>
                </w:tcPr>
                <w:p w14:paraId="2403A57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施工期</w:t>
                  </w:r>
                </w:p>
              </w:tc>
              <w:tc>
                <w:tcPr>
                  <w:tcW w:w="958" w:type="dxa"/>
                  <w:vAlign w:val="center"/>
                </w:tcPr>
                <w:p w14:paraId="407A473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营运期</w:t>
                  </w:r>
                </w:p>
              </w:tc>
            </w:tr>
            <w:tr w14:paraId="26AB8E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restart"/>
                  <w:vAlign w:val="center"/>
                </w:tcPr>
                <w:p w14:paraId="4777637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主体</w:t>
                  </w:r>
                </w:p>
                <w:p w14:paraId="1E120F1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工程</w:t>
                  </w:r>
                </w:p>
              </w:tc>
              <w:tc>
                <w:tcPr>
                  <w:tcW w:w="930" w:type="dxa"/>
                  <w:vAlign w:val="center"/>
                </w:tcPr>
                <w:p w14:paraId="14030F5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混凝土拌和站</w:t>
                  </w:r>
                </w:p>
              </w:tc>
              <w:tc>
                <w:tcPr>
                  <w:tcW w:w="4223" w:type="dxa"/>
                  <w:vAlign w:val="center"/>
                </w:tcPr>
                <w:p w14:paraId="6F113741">
                  <w:pPr>
                    <w:keepNext w:val="0"/>
                    <w:keepLines w:val="0"/>
                    <w:pageBreakBefore w:val="0"/>
                    <w:widowControl w:val="0"/>
                    <w:kinsoku/>
                    <w:overflowPunct/>
                    <w:topLinePunct w:val="0"/>
                    <w:autoSpaceDE/>
                    <w:autoSpaceDN/>
                    <w:bidi w:val="0"/>
                    <w:adjustRightInd w:val="0"/>
                    <w:snapToGrid w:val="0"/>
                    <w:spacing w:line="240" w:lineRule="auto"/>
                    <w:ind w:firstLine="208" w:firstLineChars="100"/>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混凝土拌和站区域总面积约</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6986</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，用以生产混凝土。</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共设置</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条混凝土拌和机组，1#机组生产拌和能力为</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/h、2#机组生产拌和能力为</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/h。每条机组设置100t水泥筒仓3个、粉煤灰筒仓2个，高度24m；</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拌合楼</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均</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为框架结构，高度</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1#机组、2#机组各设置</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t外加剂储罐</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个，共用10t储水罐1个；每条机组配备5个配料仓料斗（含自动称量装置）及1条封闭式传送带</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p>
              </w:tc>
              <w:tc>
                <w:tcPr>
                  <w:tcW w:w="1202" w:type="dxa"/>
                  <w:vMerge w:val="restart"/>
                  <w:vAlign w:val="center"/>
                </w:tcPr>
                <w:p w14:paraId="540EE5E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占用土地、植被破坏、水土流失、施工废气、扬尘、施工噪声、弃土、生活垃圾、建筑垃圾、施工废水</w:t>
                  </w:r>
                </w:p>
              </w:tc>
              <w:tc>
                <w:tcPr>
                  <w:tcW w:w="958" w:type="dxa"/>
                  <w:vMerge w:val="restart"/>
                  <w:vAlign w:val="center"/>
                </w:tcPr>
                <w:p w14:paraId="009782F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r>
                    <w:rPr>
                      <w:rFonts w:hint="eastAsia" w:ascii="Times New Roman" w:hAnsi="Times New Roman" w:eastAsia="宋体"/>
                      <w:color w:val="000000" w:themeColor="text1"/>
                      <w:szCs w:val="21"/>
                      <w:highlight w:val="none"/>
                      <w:lang w:eastAsia="zh-CN"/>
                      <w14:textFill>
                        <w14:solidFill>
                          <w14:schemeClr w14:val="tx1"/>
                        </w14:solidFill>
                      </w14:textFill>
                    </w:rPr>
                    <w:t>焊接烟尘、生产废水、噪声、边角废料等一般固废</w:t>
                  </w:r>
                </w:p>
              </w:tc>
            </w:tr>
            <w:tr w14:paraId="7F47A4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50DD3DD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71E86AE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小型</w:t>
                  </w:r>
                  <w:r>
                    <w:rPr>
                      <w:rFonts w:hint="eastAsia" w:ascii="Times New Roman" w:hAnsi="Times New Roman" w:eastAsia="宋体"/>
                      <w:color w:val="000000" w:themeColor="text1"/>
                      <w:szCs w:val="21"/>
                      <w:highlight w:val="none"/>
                      <w:lang w:eastAsia="zh-CN"/>
                      <w14:textFill>
                        <w14:solidFill>
                          <w14:schemeClr w14:val="tx1"/>
                        </w14:solidFill>
                      </w14:textFill>
                    </w:rPr>
                    <w:t>钢筋加工</w:t>
                  </w:r>
                  <w:r>
                    <w:rPr>
                      <w:rFonts w:hint="eastAsia" w:ascii="Times New Roman" w:hAnsi="Times New Roman" w:eastAsia="宋体"/>
                      <w:color w:val="000000" w:themeColor="text1"/>
                      <w:szCs w:val="21"/>
                      <w:highlight w:val="none"/>
                      <w14:textFill>
                        <w14:solidFill>
                          <w14:schemeClr w14:val="tx1"/>
                        </w14:solidFill>
                      </w14:textFill>
                    </w:rPr>
                    <w:t>场</w:t>
                  </w:r>
                </w:p>
              </w:tc>
              <w:tc>
                <w:tcPr>
                  <w:tcW w:w="4223" w:type="dxa"/>
                  <w:vAlign w:val="center"/>
                </w:tcPr>
                <w:p w14:paraId="57C2992F">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钢结构封闭厂房，</w:t>
                  </w:r>
                  <w:r>
                    <w:rPr>
                      <w:rFonts w:hint="eastAsia" w:ascii="Times New Roman" w:hAnsi="Times New Roman" w:eastAsia="宋体"/>
                      <w:color w:val="000000" w:themeColor="text1"/>
                      <w:szCs w:val="21"/>
                      <w:highlight w:val="none"/>
                      <w14:textFill>
                        <w14:solidFill>
                          <w14:schemeClr w14:val="tx1"/>
                        </w14:solidFill>
                      </w14:textFill>
                    </w:rPr>
                    <w:t>占地面积</w:t>
                  </w:r>
                  <w:r>
                    <w:rPr>
                      <w:rFonts w:hint="eastAsia" w:ascii="Times New Roman" w:hAnsi="Times New Roman" w:eastAsia="宋体"/>
                      <w:color w:val="000000" w:themeColor="text1"/>
                      <w:szCs w:val="21"/>
                      <w:highlight w:val="none"/>
                      <w:lang w:val="en-US" w:eastAsia="zh-CN"/>
                      <w14:textFill>
                        <w14:solidFill>
                          <w14:schemeClr w14:val="tx1"/>
                        </w14:solidFill>
                      </w14:textFill>
                    </w:rPr>
                    <w:t>1980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内设全自动液压钢筋调直切断机、自动焊网机、数控钢筋弯曲中心、数控钢筋弯箍机、滚丝机、钢筋笼滚焊机、盘筋放线机等</w:t>
                  </w:r>
                  <w:r>
                    <w:rPr>
                      <w:rFonts w:hint="eastAsia" w:ascii="Times New Roman" w:hAnsi="Times New Roman" w:eastAsia="宋体"/>
                      <w:color w:val="000000" w:themeColor="text1"/>
                      <w:szCs w:val="21"/>
                      <w:highlight w:val="none"/>
                      <w14:textFill>
                        <w14:solidFill>
                          <w14:schemeClr w14:val="tx1"/>
                        </w14:solidFill>
                      </w14:textFill>
                    </w:rPr>
                    <w:t>各种钢筋加工设备</w:t>
                  </w:r>
                </w:p>
              </w:tc>
              <w:tc>
                <w:tcPr>
                  <w:tcW w:w="1202" w:type="dxa"/>
                  <w:vMerge w:val="continue"/>
                  <w:vAlign w:val="center"/>
                </w:tcPr>
                <w:p w14:paraId="55A26CC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104D14C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0DE1B8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22E5FD2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12F2D86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预制梁厂</w:t>
                  </w:r>
                </w:p>
              </w:tc>
              <w:tc>
                <w:tcPr>
                  <w:tcW w:w="4223" w:type="dxa"/>
                  <w:vAlign w:val="center"/>
                </w:tcPr>
                <w:p w14:paraId="5AEBAFCC">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钢结构封闭厂房，</w:t>
                  </w:r>
                  <w:r>
                    <w:rPr>
                      <w:rFonts w:hint="eastAsia" w:ascii="Times New Roman" w:hAnsi="Times New Roman" w:eastAsia="宋体"/>
                      <w:color w:val="000000" w:themeColor="text1"/>
                      <w:szCs w:val="21"/>
                      <w:highlight w:val="none"/>
                      <w14:textFill>
                        <w14:solidFill>
                          <w14:schemeClr w14:val="tx1"/>
                        </w14:solidFill>
                      </w14:textFill>
                    </w:rPr>
                    <w:t>占地面积</w:t>
                  </w:r>
                  <w:r>
                    <w:rPr>
                      <w:rFonts w:hint="eastAsia" w:ascii="Times New Roman" w:hAnsi="Times New Roman" w:eastAsia="宋体"/>
                      <w:color w:val="000000" w:themeColor="text1"/>
                      <w:szCs w:val="21"/>
                      <w:highlight w:val="none"/>
                      <w:lang w:val="en-US" w:eastAsia="zh-CN"/>
                      <w14:textFill>
                        <w14:solidFill>
                          <w14:schemeClr w14:val="tx1"/>
                        </w14:solidFill>
                      </w14:textFill>
                    </w:rPr>
                    <w:t>7215</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内设</w:t>
                  </w:r>
                  <w:r>
                    <w:rPr>
                      <w:rFonts w:hint="eastAsia" w:ascii="Times New Roman" w:hAnsi="Times New Roman" w:eastAsia="宋体"/>
                      <w:color w:val="000000" w:themeColor="text1"/>
                      <w:szCs w:val="21"/>
                      <w:highlight w:val="none"/>
                      <w14:textFill>
                        <w14:solidFill>
                          <w14:schemeClr w14:val="tx1"/>
                        </w14:solidFill>
                      </w14:textFill>
                    </w:rPr>
                    <w:t>龙门吊</w:t>
                  </w:r>
                  <w:r>
                    <w:rPr>
                      <w:rFonts w:hint="eastAsia" w:ascii="Times New Roman" w:hAnsi="Times New Roman" w:eastAsia="宋体"/>
                      <w:color w:val="000000" w:themeColor="text1"/>
                      <w:szCs w:val="21"/>
                      <w:highlight w:val="none"/>
                      <w:lang w:eastAsia="zh-CN"/>
                      <w14:textFill>
                        <w14:solidFill>
                          <w14:schemeClr w14:val="tx1"/>
                        </w14:solidFill>
                      </w14:textFill>
                    </w:rPr>
                    <w:t>、智能张拉设备、智能压浆设备、自动喷淋养护系统、蒸汽发生器、发电机</w:t>
                  </w:r>
                  <w:r>
                    <w:rPr>
                      <w:rFonts w:hint="eastAsia" w:ascii="Times New Roman" w:hAnsi="Times New Roman" w:eastAsia="宋体"/>
                      <w:color w:val="000000" w:themeColor="text1"/>
                      <w:szCs w:val="21"/>
                      <w:highlight w:val="none"/>
                      <w14:textFill>
                        <w14:solidFill>
                          <w14:schemeClr w14:val="tx1"/>
                        </w14:solidFill>
                      </w14:textFill>
                    </w:rPr>
                    <w:t>等设备</w:t>
                  </w:r>
                </w:p>
              </w:tc>
              <w:tc>
                <w:tcPr>
                  <w:tcW w:w="1202" w:type="dxa"/>
                  <w:vMerge w:val="continue"/>
                  <w:vAlign w:val="center"/>
                </w:tcPr>
                <w:p w14:paraId="0DD2FF0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704592A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6A6397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restart"/>
                  <w:vAlign w:val="center"/>
                </w:tcPr>
                <w:p w14:paraId="53ECBCA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储运</w:t>
                  </w:r>
                </w:p>
                <w:p w14:paraId="1E95972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工程</w:t>
                  </w:r>
                </w:p>
              </w:tc>
              <w:tc>
                <w:tcPr>
                  <w:tcW w:w="930" w:type="dxa"/>
                  <w:vAlign w:val="center"/>
                </w:tcPr>
                <w:p w14:paraId="30EB1DB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料仓</w:t>
                  </w:r>
                </w:p>
              </w:tc>
              <w:tc>
                <w:tcPr>
                  <w:tcW w:w="4223" w:type="dxa"/>
                  <w:vAlign w:val="center"/>
                </w:tcPr>
                <w:p w14:paraId="26BB4585">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混凝土拌合站砂石料仓位于厂区</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东</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侧</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，钢结构，高度</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m，长</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48</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m，宽</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m，设置三面围挡加彩钢顶棚和喷雾抑尘装置</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。共间隔</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配置</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原料储</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仓，</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号储仓储</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存量</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00t</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同时在混凝土拌合站工作区</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每条机组</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配备</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骨料砂石</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料斗</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共</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设置三面围挡加彩钢顶棚，可按产量自动配料，通过</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封闭式</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传送带送往搅拌楼。</w:t>
                  </w:r>
                </w:p>
              </w:tc>
              <w:tc>
                <w:tcPr>
                  <w:tcW w:w="1202" w:type="dxa"/>
                  <w:vMerge w:val="continue"/>
                  <w:vAlign w:val="center"/>
                </w:tcPr>
                <w:p w14:paraId="3647C11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2B88707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p>
              </w:tc>
            </w:tr>
            <w:tr w14:paraId="747B0F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60BBD5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605DB631">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spacing w:val="-1"/>
                      <w:kern w:val="2"/>
                      <w:sz w:val="21"/>
                      <w:szCs w:val="21"/>
                      <w:highlight w:val="none"/>
                      <w:shd w:val="clear" w:color="auto" w:fill="auto"/>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筒仓</w:t>
                  </w:r>
                </w:p>
              </w:tc>
              <w:tc>
                <w:tcPr>
                  <w:tcW w:w="4223" w:type="dxa"/>
                  <w:vAlign w:val="center"/>
                </w:tcPr>
                <w:p w14:paraId="38E590AD">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kern w:val="2"/>
                      <w:sz w:val="21"/>
                      <w:szCs w:val="21"/>
                      <w:highlight w:val="none"/>
                      <w:shd w:val="clear" w:color="auto" w:fill="auto"/>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混凝土拌合站</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每条机组设置100t水泥筒仓3个、粉煤灰筒仓2个。</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全站共设置</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100t水泥筒仓</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个、粉煤灰筒仓</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个。</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位于厂区中部，高度24m。</w:t>
                  </w:r>
                </w:p>
              </w:tc>
              <w:tc>
                <w:tcPr>
                  <w:tcW w:w="1202" w:type="dxa"/>
                  <w:vMerge w:val="continue"/>
                  <w:vAlign w:val="center"/>
                </w:tcPr>
                <w:p w14:paraId="75189D4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0E1D5C4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p>
              </w:tc>
            </w:tr>
            <w:tr w14:paraId="5D2404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02816E5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79C8FA42">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储水罐</w:t>
                  </w:r>
                </w:p>
              </w:tc>
              <w:tc>
                <w:tcPr>
                  <w:tcW w:w="4223" w:type="dxa"/>
                  <w:vAlign w:val="center"/>
                </w:tcPr>
                <w:p w14:paraId="03E2717F">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拌和区内</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1#机组、2#机组共用10t储水罐1个。</w:t>
                  </w:r>
                </w:p>
              </w:tc>
              <w:tc>
                <w:tcPr>
                  <w:tcW w:w="1202" w:type="dxa"/>
                  <w:vMerge w:val="continue"/>
                  <w:vAlign w:val="center"/>
                </w:tcPr>
                <w:p w14:paraId="194960C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1C5E916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6E3FB6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27772F8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6C6903D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钢筋</w:t>
                  </w:r>
                </w:p>
                <w:p w14:paraId="4F7F98B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堆放</w:t>
                  </w:r>
                  <w:r>
                    <w:rPr>
                      <w:rFonts w:hint="eastAsia" w:ascii="Times New Roman" w:hAnsi="Times New Roman" w:eastAsia="宋体"/>
                      <w:color w:val="000000" w:themeColor="text1"/>
                      <w:szCs w:val="21"/>
                      <w:highlight w:val="none"/>
                      <w:lang w:eastAsia="zh-CN"/>
                      <w14:textFill>
                        <w14:solidFill>
                          <w14:schemeClr w14:val="tx1"/>
                        </w14:solidFill>
                      </w14:textFill>
                    </w:rPr>
                    <w:t>区</w:t>
                  </w:r>
                </w:p>
              </w:tc>
              <w:tc>
                <w:tcPr>
                  <w:tcW w:w="4223" w:type="dxa"/>
                  <w:vAlign w:val="center"/>
                </w:tcPr>
                <w:p w14:paraId="49B37C5E">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钢筋原料堆放及成品堆放于</w:t>
                  </w:r>
                  <w:r>
                    <w:rPr>
                      <w:rFonts w:hint="eastAsia" w:ascii="Times New Roman" w:hAnsi="Times New Roman" w:eastAsia="宋体"/>
                      <w:color w:val="000000" w:themeColor="text1"/>
                      <w:szCs w:val="21"/>
                      <w:highlight w:val="none"/>
                      <w:lang w:eastAsia="zh-CN"/>
                      <w14:textFill>
                        <w14:solidFill>
                          <w14:schemeClr w14:val="tx1"/>
                        </w14:solidFill>
                      </w14:textFill>
                    </w:rPr>
                    <w:t>钢筋加工场内。钢筋模板堆放于制梁厂钢筋模架区。</w:t>
                  </w:r>
                </w:p>
              </w:tc>
              <w:tc>
                <w:tcPr>
                  <w:tcW w:w="1202" w:type="dxa"/>
                  <w:vMerge w:val="continue"/>
                  <w:vAlign w:val="center"/>
                </w:tcPr>
                <w:p w14:paraId="4F5EB4C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32E07EF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1AC609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0F46A1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6BDFC4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预制梁</w:t>
                  </w:r>
                </w:p>
                <w:p w14:paraId="0EEC027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堆放区</w:t>
                  </w:r>
                </w:p>
              </w:tc>
              <w:tc>
                <w:tcPr>
                  <w:tcW w:w="4223" w:type="dxa"/>
                  <w:vAlign w:val="center"/>
                </w:tcPr>
                <w:p w14:paraId="070D8276">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堆放于预制梁厂内存梁、养护区。</w:t>
                  </w:r>
                </w:p>
              </w:tc>
              <w:tc>
                <w:tcPr>
                  <w:tcW w:w="1202" w:type="dxa"/>
                  <w:vMerge w:val="continue"/>
                  <w:vAlign w:val="center"/>
                </w:tcPr>
                <w:p w14:paraId="267BC85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056AEAF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77E04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restart"/>
                  <w:vAlign w:val="center"/>
                </w:tcPr>
                <w:p w14:paraId="5AC4723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公用</w:t>
                  </w:r>
                </w:p>
                <w:p w14:paraId="12B2939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工程</w:t>
                  </w:r>
                </w:p>
              </w:tc>
              <w:tc>
                <w:tcPr>
                  <w:tcW w:w="930" w:type="dxa"/>
                  <w:vAlign w:val="center"/>
                </w:tcPr>
                <w:p w14:paraId="004DDE2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给水</w:t>
                  </w:r>
                </w:p>
              </w:tc>
              <w:tc>
                <w:tcPr>
                  <w:tcW w:w="4223" w:type="dxa"/>
                  <w:vAlign w:val="center"/>
                </w:tcPr>
                <w:p w14:paraId="22E18717">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生活用水为市政供水，生产用水</w:t>
                  </w:r>
                  <w:r>
                    <w:rPr>
                      <w:rFonts w:hint="eastAsia" w:ascii="Times New Roman" w:hAnsi="Times New Roman" w:eastAsia="宋体"/>
                      <w:color w:val="000000" w:themeColor="text1"/>
                      <w:szCs w:val="21"/>
                      <w:highlight w:val="none"/>
                      <w:lang w:eastAsia="zh-CN"/>
                      <w14:textFill>
                        <w14:solidFill>
                          <w14:schemeClr w14:val="tx1"/>
                        </w14:solidFill>
                      </w14:textFill>
                    </w:rPr>
                    <w:t>为市政供水及厂区生产废水、雨水的回用</w:t>
                  </w:r>
                  <w:r>
                    <w:rPr>
                      <w:rFonts w:hint="eastAsia" w:ascii="Times New Roman" w:hAnsi="Times New Roman" w:eastAsia="宋体"/>
                      <w:color w:val="000000" w:themeColor="text1"/>
                      <w:szCs w:val="21"/>
                      <w:highlight w:val="none"/>
                      <w14:textFill>
                        <w14:solidFill>
                          <w14:schemeClr w14:val="tx1"/>
                        </w14:solidFill>
                      </w14:textFill>
                    </w:rPr>
                    <w:t>。</w:t>
                  </w:r>
                </w:p>
              </w:tc>
              <w:tc>
                <w:tcPr>
                  <w:tcW w:w="1202" w:type="dxa"/>
                  <w:vMerge w:val="continue"/>
                  <w:vAlign w:val="center"/>
                </w:tcPr>
                <w:p w14:paraId="479437A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527703D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62C87E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F8F071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7E2E176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排水</w:t>
                  </w:r>
                </w:p>
              </w:tc>
              <w:tc>
                <w:tcPr>
                  <w:tcW w:w="4223" w:type="dxa"/>
                  <w:vAlign w:val="center"/>
                </w:tcPr>
                <w:p w14:paraId="3AE3C500">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雨污分流，</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厕所</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污水经</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设置</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m化粪池</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（有效容积约30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处理后，</w:t>
                  </w:r>
                  <w:r>
                    <w:rPr>
                      <w:rFonts w:hint="eastAsia" w:ascii="Times New Roman" w:hAnsi="Times New Roman" w:eastAsia="宋体" w:cs="Times New Roman"/>
                      <w:color w:val="000000" w:themeColor="text1"/>
                      <w:spacing w:val="-1"/>
                      <w:sz w:val="21"/>
                      <w:szCs w:val="21"/>
                      <w:highlight w:val="none"/>
                      <w:lang w:eastAsia="zh-CN"/>
                      <w14:textFill>
                        <w14:solidFill>
                          <w14:schemeClr w14:val="tx1"/>
                        </w14:solidFill>
                      </w14:textFill>
                    </w:rPr>
                    <w:t>经吸污车拉运</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至</w:t>
                  </w:r>
                  <w:r>
                    <w:rPr>
                      <w:rFonts w:hint="eastAsia" w:ascii="Times New Roman" w:hAnsi="Times New Roman" w:eastAsia="宋体" w:cs="Times New Roman"/>
                      <w:color w:val="000000" w:themeColor="text1"/>
                      <w:spacing w:val="-1"/>
                      <w:sz w:val="21"/>
                      <w:szCs w:val="21"/>
                      <w:highlight w:val="none"/>
                      <w:lang w:eastAsia="zh-CN"/>
                      <w14:textFill>
                        <w14:solidFill>
                          <w14:schemeClr w14:val="tx1"/>
                        </w14:solidFill>
                      </w14:textFill>
                    </w:rPr>
                    <w:t>宝梵</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污水处理厂进行处理</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站区内沿生产机组边界设置排水沟，污水经收集后流入一座</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16</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m*3m倾斜式五级沉淀池</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（有效容积约200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，车辆冲洗废水、罐车冲洗废水、场地冲洗废水均经沉淀处理后用于洒水抑尘</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p>
              </w:tc>
              <w:tc>
                <w:tcPr>
                  <w:tcW w:w="1202" w:type="dxa"/>
                  <w:vMerge w:val="continue"/>
                  <w:vAlign w:val="center"/>
                </w:tcPr>
                <w:p w14:paraId="0D5F296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3D4FBCD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污泥</w:t>
                  </w:r>
                </w:p>
              </w:tc>
            </w:tr>
            <w:tr w14:paraId="6EFCE0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61740F3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257B024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供电</w:t>
                  </w:r>
                </w:p>
              </w:tc>
              <w:tc>
                <w:tcPr>
                  <w:tcW w:w="4223" w:type="dxa"/>
                  <w:vAlign w:val="center"/>
                </w:tcPr>
                <w:p w14:paraId="4E74EE78">
                  <w:pPr>
                    <w:keepNext w:val="0"/>
                    <w:keepLines w:val="0"/>
                    <w:pageBreakBefore w:val="0"/>
                    <w:widowControl w:val="0"/>
                    <w:kinsoku/>
                    <w:wordWrap w:val="0"/>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由附近市政电网供电</w:t>
                  </w:r>
                  <w:r>
                    <w:rPr>
                      <w:rFonts w:ascii="Times New Roman" w:hAnsi="Times New Roman" w:eastAsia="宋体"/>
                      <w:color w:val="000000" w:themeColor="text1"/>
                      <w:szCs w:val="21"/>
                      <w:highlight w:val="none"/>
                      <w14:textFill>
                        <w14:solidFill>
                          <w14:schemeClr w14:val="tx1"/>
                        </w14:solidFill>
                      </w14:textFill>
                    </w:rPr>
                    <w:t>。</w:t>
                  </w:r>
                </w:p>
              </w:tc>
              <w:tc>
                <w:tcPr>
                  <w:tcW w:w="1202" w:type="dxa"/>
                  <w:vMerge w:val="continue"/>
                  <w:vAlign w:val="center"/>
                </w:tcPr>
                <w:p w14:paraId="016487E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7A521B6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362AE1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675" w:hRule="atLeast"/>
                <w:jc w:val="center"/>
              </w:trPr>
              <w:tc>
                <w:tcPr>
                  <w:tcW w:w="728" w:type="dxa"/>
                  <w:vMerge w:val="restart"/>
                  <w:vAlign w:val="center"/>
                </w:tcPr>
                <w:p w14:paraId="5BBCC25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办公及生活设施</w:t>
                  </w:r>
                </w:p>
              </w:tc>
              <w:tc>
                <w:tcPr>
                  <w:tcW w:w="930" w:type="dxa"/>
                  <w:vAlign w:val="center"/>
                </w:tcPr>
                <w:p w14:paraId="70E5F707">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olor w:val="000000" w:themeColor="text1"/>
                      <w:sz w:val="21"/>
                      <w:szCs w:val="18"/>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办公区</w:t>
                  </w:r>
                </w:p>
              </w:tc>
              <w:tc>
                <w:tcPr>
                  <w:tcW w:w="4223" w:type="dxa"/>
                  <w:vAlign w:val="center"/>
                </w:tcPr>
                <w:p w14:paraId="3AD2B23E">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ascii="Times New Roman" w:hAnsi="Times New Roman" w:eastAsia="宋体"/>
                      <w:color w:val="000000" w:themeColor="text1"/>
                      <w:sz w:val="21"/>
                      <w:szCs w:val="18"/>
                      <w:highlight w:val="none"/>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板房</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结构，高度3m，总面积约</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包含</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功能室为</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站长室、调度室</w:t>
                  </w:r>
                  <w:r>
                    <w:rPr>
                      <w:rFonts w:hint="eastAsia" w:ascii="Times New Roman" w:hAnsi="Times New Roman" w:eastAsia="宋体" w:cs="Times New Roman"/>
                      <w:color w:val="000000" w:themeColor="text1"/>
                      <w:spacing w:val="-1"/>
                      <w:sz w:val="21"/>
                      <w:szCs w:val="21"/>
                      <w:highlight w:val="none"/>
                      <w:lang w:eastAsia="zh-CN"/>
                      <w14:textFill>
                        <w14:solidFill>
                          <w14:schemeClr w14:val="tx1"/>
                        </w14:solidFill>
                      </w14:textFill>
                    </w:rPr>
                    <w:t>、试块加工室</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，每个房间建筑面积约</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。提供试验检测和指挥办公活动，位于厂区</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西北</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部。</w:t>
                  </w:r>
                </w:p>
              </w:tc>
              <w:tc>
                <w:tcPr>
                  <w:tcW w:w="1202" w:type="dxa"/>
                  <w:vMerge w:val="continue"/>
                  <w:vAlign w:val="center"/>
                </w:tcPr>
                <w:p w14:paraId="1541D66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restart"/>
                  <w:vAlign w:val="center"/>
                </w:tcPr>
                <w:p w14:paraId="34092D7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生活垃圾、生活污水、餐厨垃圾、餐饮废水</w:t>
                  </w:r>
                </w:p>
              </w:tc>
            </w:tr>
            <w:tr w14:paraId="3B2E7A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675" w:hRule="atLeast"/>
                <w:jc w:val="center"/>
              </w:trPr>
              <w:tc>
                <w:tcPr>
                  <w:tcW w:w="728" w:type="dxa"/>
                  <w:vMerge w:val="continue"/>
                  <w:vAlign w:val="center"/>
                </w:tcPr>
                <w:p w14:paraId="33205F6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5C21B953">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olor w:val="000000" w:themeColor="text1"/>
                      <w:sz w:val="21"/>
                      <w:szCs w:val="18"/>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生活区</w:t>
                  </w:r>
                </w:p>
              </w:tc>
              <w:tc>
                <w:tcPr>
                  <w:tcW w:w="4223" w:type="dxa"/>
                  <w:vAlign w:val="center"/>
                </w:tcPr>
                <w:p w14:paraId="0F2775F6">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olor w:val="000000" w:themeColor="text1"/>
                      <w:sz w:val="21"/>
                      <w:szCs w:val="18"/>
                      <w:highlight w:val="none"/>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板房</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结构，高度3m，总面积约</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900</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包含</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间餐厅、</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间厨房、</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32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间宿舍、2间卫生间、2间浴室。卫生间约</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，浴室</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约60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，其余</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每个房间建筑面积约</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20m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。提供</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生产管理人员生活、用餐</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，位于厂区</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西南</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部。</w:t>
                  </w:r>
                </w:p>
              </w:tc>
              <w:tc>
                <w:tcPr>
                  <w:tcW w:w="1202" w:type="dxa"/>
                  <w:vMerge w:val="continue"/>
                  <w:vAlign w:val="center"/>
                </w:tcPr>
                <w:p w14:paraId="21D663F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2DDFC0F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r>
            <w:tr w14:paraId="0D5B6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restart"/>
                  <w:vAlign w:val="center"/>
                </w:tcPr>
                <w:p w14:paraId="78CE194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环保</w:t>
                  </w:r>
                </w:p>
                <w:p w14:paraId="44A9C07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工程</w:t>
                  </w:r>
                </w:p>
              </w:tc>
              <w:tc>
                <w:tcPr>
                  <w:tcW w:w="930" w:type="dxa"/>
                  <w:vMerge w:val="restart"/>
                  <w:vAlign w:val="center"/>
                </w:tcPr>
                <w:p w14:paraId="41A9F6D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废气</w:t>
                  </w:r>
                </w:p>
              </w:tc>
              <w:tc>
                <w:tcPr>
                  <w:tcW w:w="4223" w:type="dxa"/>
                  <w:vAlign w:val="center"/>
                </w:tcPr>
                <w:p w14:paraId="0C6837CE">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原料堆场粉尘：</w:t>
                  </w:r>
                  <w:r>
                    <w:rPr>
                      <w:rFonts w:ascii="Times New Roman" w:hAnsi="Times New Roman" w:eastAsia="宋体"/>
                      <w:color w:val="000000" w:themeColor="text1"/>
                      <w:szCs w:val="21"/>
                      <w:highlight w:val="none"/>
                      <w:lang w:bidi="ar"/>
                      <w14:textFill>
                        <w14:solidFill>
                          <w14:schemeClr w14:val="tx1"/>
                        </w14:solidFill>
                      </w14:textFill>
                    </w:rPr>
                    <w:t>降低物料落差，厂房封闭，并在厂房</w:t>
                  </w:r>
                  <w:r>
                    <w:rPr>
                      <w:rFonts w:hint="eastAsia" w:ascii="Times New Roman" w:hAnsi="Times New Roman" w:eastAsia="宋体"/>
                      <w:color w:val="000000" w:themeColor="text1"/>
                      <w:szCs w:val="21"/>
                      <w:highlight w:val="none"/>
                      <w:lang w:eastAsia="zh-CN" w:bidi="ar"/>
                      <w14:textFill>
                        <w14:solidFill>
                          <w14:schemeClr w14:val="tx1"/>
                        </w14:solidFill>
                      </w14:textFill>
                    </w:rPr>
                    <w:t>设置网格式</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（除尘效率70%）</w:t>
                  </w:r>
                  <w:r>
                    <w:rPr>
                      <w:rFonts w:ascii="Times New Roman" w:hAnsi="Times New Roman" w:eastAsia="宋体"/>
                      <w:color w:val="000000" w:themeColor="text1"/>
                      <w:szCs w:val="21"/>
                      <w:highlight w:val="none"/>
                      <w:lang w:bidi="ar"/>
                      <w14:textFill>
                        <w14:solidFill>
                          <w14:schemeClr w14:val="tx1"/>
                        </w14:solidFill>
                      </w14:textFill>
                    </w:rPr>
                    <w:t>，在装卸时开启喷淋装置</w:t>
                  </w:r>
                </w:p>
              </w:tc>
              <w:tc>
                <w:tcPr>
                  <w:tcW w:w="1202" w:type="dxa"/>
                  <w:vAlign w:val="center"/>
                </w:tcPr>
                <w:p w14:paraId="66CC3E0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6E9190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02A571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C4812F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31AC1BA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70F50FD9">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骨料输送粉尘：</w:t>
                  </w:r>
                  <w:r>
                    <w:rPr>
                      <w:rFonts w:ascii="Times New Roman" w:hAnsi="Times New Roman" w:eastAsia="宋体"/>
                      <w:color w:val="000000" w:themeColor="text1"/>
                      <w:szCs w:val="21"/>
                      <w:highlight w:val="none"/>
                      <w:lang w:bidi="ar"/>
                      <w14:textFill>
                        <w14:solidFill>
                          <w14:schemeClr w14:val="tx1"/>
                        </w14:solidFill>
                      </w14:textFill>
                    </w:rPr>
                    <w:t>密闭的输送廊道，并在皮带输送进料口设置喷淋抑尘装置</w:t>
                  </w:r>
                </w:p>
              </w:tc>
              <w:tc>
                <w:tcPr>
                  <w:tcW w:w="1202" w:type="dxa"/>
                  <w:vAlign w:val="center"/>
                </w:tcPr>
                <w:p w14:paraId="4BF5D67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436CF54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14CB7D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0B974B3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A4E300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45EC4C7C">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储料罐</w:t>
                  </w:r>
                  <w:r>
                    <w:rPr>
                      <w:rFonts w:hint="eastAsia" w:ascii="Times New Roman" w:hAnsi="Times New Roman" w:eastAsia="宋体"/>
                      <w:color w:val="000000" w:themeColor="text1"/>
                      <w:szCs w:val="21"/>
                      <w:highlight w:val="none"/>
                      <w:lang w:eastAsia="zh-CN"/>
                      <w14:textFill>
                        <w14:solidFill>
                          <w14:schemeClr w14:val="tx1"/>
                        </w14:solidFill>
                      </w14:textFill>
                    </w:rPr>
                    <w:t>位于混凝土拌和站内，共设置</w:t>
                  </w:r>
                  <w:r>
                    <w:rPr>
                      <w:rFonts w:hint="eastAsia" w:ascii="Times New Roman" w:hAnsi="Times New Roman" w:eastAsia="宋体"/>
                      <w:color w:val="000000" w:themeColor="text1"/>
                      <w:szCs w:val="21"/>
                      <w:highlight w:val="none"/>
                      <w:lang w:val="en-US" w:eastAsia="zh-CN"/>
                      <w14:textFill>
                        <w14:solidFill>
                          <w14:schemeClr w14:val="tx1"/>
                        </w14:solidFill>
                      </w14:textFill>
                    </w:rPr>
                    <w:t>10个储罐，各储罐仓顶</w:t>
                  </w:r>
                  <w:r>
                    <w:rPr>
                      <w:rFonts w:hint="eastAsia" w:ascii="Times New Roman" w:hAnsi="Times New Roman" w:eastAsia="宋体"/>
                      <w:color w:val="000000" w:themeColor="text1"/>
                      <w:szCs w:val="21"/>
                      <w:highlight w:val="none"/>
                      <w14:textFill>
                        <w14:solidFill>
                          <w14:schemeClr w14:val="tx1"/>
                        </w14:solidFill>
                      </w14:textFill>
                    </w:rPr>
                    <w:t>配备仓顶除尘器处理（除尘效率为99.5%）后无组织排放</w:t>
                  </w:r>
                </w:p>
              </w:tc>
              <w:tc>
                <w:tcPr>
                  <w:tcW w:w="1202" w:type="dxa"/>
                  <w:vAlign w:val="center"/>
                </w:tcPr>
                <w:p w14:paraId="3433D02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34E96BB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8C0E2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2D57AE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3C9E863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0273C880">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密闭搅拌机，密闭厂房，搅拌系统配备一台布袋除尘器（收集效率</w:t>
                  </w:r>
                  <w:r>
                    <w:rPr>
                      <w:rFonts w:hint="eastAsia" w:ascii="Times New Roman" w:hAnsi="Times New Roman" w:eastAsia="宋体"/>
                      <w:color w:val="000000" w:themeColor="text1"/>
                      <w:szCs w:val="21"/>
                      <w:highlight w:val="none"/>
                      <w:lang w:val="en-US" w:eastAsia="zh-CN"/>
                      <w14:textFill>
                        <w14:solidFill>
                          <w14:schemeClr w14:val="tx1"/>
                        </w14:solidFill>
                      </w14:textFill>
                    </w:rPr>
                    <w:t>95</w:t>
                  </w:r>
                  <w:r>
                    <w:rPr>
                      <w:rFonts w:hint="eastAsia" w:ascii="Times New Roman" w:hAnsi="Times New Roman" w:eastAsia="宋体"/>
                      <w:color w:val="000000" w:themeColor="text1"/>
                      <w:szCs w:val="21"/>
                      <w:highlight w:val="none"/>
                      <w14:textFill>
                        <w14:solidFill>
                          <w14:schemeClr w14:val="tx1"/>
                        </w14:solidFill>
                      </w14:textFill>
                    </w:rPr>
                    <w:t>%，除尘效率9</w:t>
                  </w:r>
                  <w:r>
                    <w:rPr>
                      <w:rFonts w:hint="eastAsia" w:ascii="Times New Roman" w:hAnsi="Times New Roman" w:eastAsia="宋体"/>
                      <w:color w:val="000000" w:themeColor="text1"/>
                      <w:szCs w:val="21"/>
                      <w:highlight w:val="none"/>
                      <w:lang w:val="en-US" w:eastAsia="zh-CN"/>
                      <w14:textFill>
                        <w14:solidFill>
                          <w14:schemeClr w14:val="tx1"/>
                        </w14:solidFill>
                      </w14:textFill>
                    </w:rPr>
                    <w:t>9</w:t>
                  </w:r>
                  <w:r>
                    <w:rPr>
                      <w:rFonts w:hint="eastAsia" w:ascii="Times New Roman" w:hAnsi="Times New Roman" w:eastAsia="宋体"/>
                      <w:color w:val="000000" w:themeColor="text1"/>
                      <w:szCs w:val="21"/>
                      <w:highlight w:val="none"/>
                      <w14:textFill>
                        <w14:solidFill>
                          <w14:schemeClr w14:val="tx1"/>
                        </w14:solidFill>
                      </w14:textFill>
                    </w:rPr>
                    <w:t>%），安装喷淋装置洒水降尘（除尘效率70%）</w:t>
                  </w:r>
                </w:p>
              </w:tc>
              <w:tc>
                <w:tcPr>
                  <w:tcW w:w="1202" w:type="dxa"/>
                  <w:vAlign w:val="center"/>
                </w:tcPr>
                <w:p w14:paraId="035E61B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2FD1863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6BF72D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6CDB09F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1997CF5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50C0FAD3">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汽车运输扬尘</w:t>
                  </w:r>
                  <w:r>
                    <w:rPr>
                      <w:rFonts w:hint="eastAsia" w:ascii="Times New Roman" w:hAnsi="Times New Roman" w:eastAsia="宋体"/>
                      <w:color w:val="000000" w:themeColor="text1"/>
                      <w:szCs w:val="21"/>
                      <w:highlight w:val="none"/>
                      <w14:textFill>
                        <w14:solidFill>
                          <w14:schemeClr w14:val="tx1"/>
                        </w14:solidFill>
                      </w14:textFill>
                    </w:rPr>
                    <w:t>：运输车辆采用篷布遮盖；洒水降尘（除尘效率70%）</w:t>
                  </w:r>
                </w:p>
              </w:tc>
              <w:tc>
                <w:tcPr>
                  <w:tcW w:w="1202" w:type="dxa"/>
                  <w:vAlign w:val="center"/>
                </w:tcPr>
                <w:p w14:paraId="4CB91A8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2622AAE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6CD863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4FFAE0D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6C5D50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1BB0E642">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焊接烟尘：设置</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r>
                    <w:rPr>
                      <w:rFonts w:hint="eastAsia" w:ascii="Times New Roman" w:hAnsi="Times New Roman" w:eastAsia="宋体"/>
                      <w:color w:val="000000" w:themeColor="text1"/>
                      <w:szCs w:val="21"/>
                      <w:highlight w:val="none"/>
                      <w:lang w:eastAsia="zh-CN" w:bidi="ar"/>
                      <w14:textFill>
                        <w14:solidFill>
                          <w14:schemeClr w14:val="tx1"/>
                        </w14:solidFill>
                      </w14:textFill>
                    </w:rPr>
                    <w:t>台移动式焊烟净化器（收集效率80%，处理效率9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r>
                    <w:rPr>
                      <w:rFonts w:hint="eastAsia" w:ascii="Times New Roman" w:hAnsi="Times New Roman" w:eastAsia="宋体"/>
                      <w:color w:val="000000" w:themeColor="text1"/>
                      <w:szCs w:val="21"/>
                      <w:highlight w:val="none"/>
                      <w:lang w:eastAsia="zh-CN" w:bidi="ar"/>
                      <w14:textFill>
                        <w14:solidFill>
                          <w14:schemeClr w14:val="tx1"/>
                        </w14:solidFill>
                      </w14:textFill>
                    </w:rPr>
                    <w:t>%）</w:t>
                  </w:r>
                </w:p>
              </w:tc>
              <w:tc>
                <w:tcPr>
                  <w:tcW w:w="1202" w:type="dxa"/>
                  <w:vAlign w:val="center"/>
                </w:tcPr>
                <w:p w14:paraId="386BFD6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42250F8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7B2209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51863FF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5873AB3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0925B168">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备用发电机：</w:t>
                  </w:r>
                  <w:r>
                    <w:rPr>
                      <w:rFonts w:hint="eastAsia" w:ascii="Times New Roman" w:hAnsi="Times New Roman" w:eastAsia="宋体"/>
                      <w:color w:val="000000" w:themeColor="text1"/>
                      <w:szCs w:val="21"/>
                      <w:highlight w:val="none"/>
                      <w:lang w:bidi="ar"/>
                      <w14:textFill>
                        <w14:solidFill>
                          <w14:schemeClr w14:val="tx1"/>
                        </w14:solidFill>
                      </w14:textFill>
                    </w:rPr>
                    <w:t>发电机自带消烟除尘处理，燃油废气经排风系统收集后经</w:t>
                  </w:r>
                  <w:r>
                    <w:rPr>
                      <w:rFonts w:hint="eastAsia" w:ascii="Times New Roman" w:hAnsi="Times New Roman" w:eastAsia="宋体"/>
                      <w:color w:val="000000" w:themeColor="text1"/>
                      <w:szCs w:val="21"/>
                      <w:highlight w:val="none"/>
                      <w:lang w:eastAsia="zh-CN" w:bidi="ar"/>
                      <w14:textFill>
                        <w14:solidFill>
                          <w14:schemeClr w14:val="tx1"/>
                        </w14:solidFill>
                      </w14:textFill>
                    </w:rPr>
                    <w:t>专用烟道排放</w:t>
                  </w:r>
                </w:p>
              </w:tc>
              <w:tc>
                <w:tcPr>
                  <w:tcW w:w="1202" w:type="dxa"/>
                  <w:vAlign w:val="center"/>
                </w:tcPr>
                <w:p w14:paraId="1454077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0B38485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069B50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2FE563E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4041AC5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52A51CA0">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食堂油烟：</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设置</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3台</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油烟净化设备</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处理后通过烟道于屋顶排放</w:t>
                  </w:r>
                </w:p>
              </w:tc>
              <w:tc>
                <w:tcPr>
                  <w:tcW w:w="1202" w:type="dxa"/>
                  <w:vAlign w:val="center"/>
                </w:tcPr>
                <w:p w14:paraId="4E571BC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4BC7172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4685B3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3B5E22F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6620F5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4144CA90">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汽车尾气：地处开阔，自然扩散</w:t>
                  </w:r>
                </w:p>
              </w:tc>
              <w:tc>
                <w:tcPr>
                  <w:tcW w:w="1202" w:type="dxa"/>
                  <w:vAlign w:val="center"/>
                </w:tcPr>
                <w:p w14:paraId="5F041C9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3BB82B7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160D79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61D97F1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restart"/>
                  <w:vAlign w:val="center"/>
                </w:tcPr>
                <w:p w14:paraId="475978B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废水</w:t>
                  </w:r>
                </w:p>
              </w:tc>
              <w:tc>
                <w:tcPr>
                  <w:tcW w:w="4223" w:type="dxa"/>
                  <w:vAlign w:val="center"/>
                </w:tcPr>
                <w:p w14:paraId="62CEBCF0">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搅拌机冲洗废水</w:t>
                  </w:r>
                  <w:r>
                    <w:rPr>
                      <w:rFonts w:hint="eastAsia" w:ascii="Times New Roman" w:hAnsi="Times New Roman" w:eastAsia="宋体"/>
                      <w:color w:val="000000" w:themeColor="text1"/>
                      <w:szCs w:val="21"/>
                      <w:highlight w:val="none"/>
                      <w:lang w:eastAsia="zh-CN"/>
                      <w14:textFill>
                        <w14:solidFill>
                          <w14:schemeClr w14:val="tx1"/>
                        </w14:solidFill>
                      </w14:textFill>
                    </w:rPr>
                    <w:t>、</w:t>
                  </w:r>
                  <w:r>
                    <w:rPr>
                      <w:rFonts w:hint="eastAsia" w:ascii="Times New Roman" w:hAnsi="Times New Roman" w:eastAsia="宋体"/>
                      <w:color w:val="000000" w:themeColor="text1"/>
                      <w:szCs w:val="21"/>
                      <w:highlight w:val="none"/>
                      <w14:textFill>
                        <w14:solidFill>
                          <w14:schemeClr w14:val="tx1"/>
                        </w14:solidFill>
                      </w14:textFill>
                    </w:rPr>
                    <w:t>地坪冲洗水</w:t>
                  </w:r>
                  <w:r>
                    <w:rPr>
                      <w:rFonts w:hint="eastAsia" w:ascii="Times New Roman" w:hAnsi="Times New Roman" w:eastAsia="宋体"/>
                      <w:color w:val="000000" w:themeColor="text1"/>
                      <w:szCs w:val="21"/>
                      <w:highlight w:val="none"/>
                      <w:lang w:eastAsia="zh-CN"/>
                      <w14:textFill>
                        <w14:solidFill>
                          <w14:schemeClr w14:val="tx1"/>
                        </w14:solidFill>
                      </w14:textFill>
                    </w:rPr>
                    <w:t>、洗砂废水：</w:t>
                  </w:r>
                  <w:r>
                    <w:rPr>
                      <w:rFonts w:hint="eastAsia" w:ascii="Times New Roman" w:hAnsi="Times New Roman" w:eastAsia="宋体"/>
                      <w:color w:val="000000" w:themeColor="text1"/>
                      <w:szCs w:val="21"/>
                      <w:highlight w:val="none"/>
                      <w14:textFill>
                        <w14:solidFill>
                          <w14:schemeClr w14:val="tx1"/>
                        </w14:solidFill>
                      </w14:textFill>
                    </w:rPr>
                    <w:t>经砂石分离器</w:t>
                  </w:r>
                  <w:r>
                    <w:rPr>
                      <w:rFonts w:hint="eastAsia" w:ascii="Times New Roman" w:hAnsi="Times New Roman" w:eastAsia="宋体"/>
                      <w:color w:val="000000" w:themeColor="text1"/>
                      <w:szCs w:val="21"/>
                      <w:highlight w:val="none"/>
                      <w:lang w:eastAsia="zh-CN"/>
                      <w14:textFill>
                        <w14:solidFill>
                          <w14:schemeClr w14:val="tx1"/>
                        </w14:solidFill>
                      </w14:textFill>
                    </w:rPr>
                    <w:t>处理</w:t>
                  </w:r>
                  <w:r>
                    <w:rPr>
                      <w:rFonts w:hint="eastAsia" w:ascii="Times New Roman" w:hAnsi="Times New Roman" w:eastAsia="宋体"/>
                      <w:color w:val="000000" w:themeColor="text1"/>
                      <w:kern w:val="0"/>
                      <w:szCs w:val="21"/>
                      <w:highlight w:val="none"/>
                      <w:lang w:eastAsia="zh-CN"/>
                      <w14:textFill>
                        <w14:solidFill>
                          <w14:schemeClr w14:val="tx1"/>
                        </w14:solidFill>
                      </w14:textFill>
                    </w:rPr>
                    <w:t>后进入五级沉淀池（</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200</w:t>
                  </w:r>
                  <w:r>
                    <w:rPr>
                      <w:rFonts w:hint="eastAsia" w:ascii="Times New Roman" w:hAnsi="Times New Roman" w:eastAsia="宋体"/>
                      <w:color w:val="000000" w:themeColor="text1"/>
                      <w:kern w:val="0"/>
                      <w:szCs w:val="21"/>
                      <w:highlight w:val="none"/>
                      <w:lang w:eastAsia="zh-CN"/>
                      <w14:textFill>
                        <w14:solidFill>
                          <w14:schemeClr w14:val="tx1"/>
                        </w14:solidFill>
                      </w14:textFill>
                    </w:rPr>
                    <w:t>m</w:t>
                  </w:r>
                  <w:r>
                    <w:rPr>
                      <w:rFonts w:hint="eastAsia" w:ascii="Times New Roman" w:hAnsi="Times New Roman" w:eastAsia="宋体"/>
                      <w:color w:val="000000" w:themeColor="text1"/>
                      <w:kern w:val="0"/>
                      <w:szCs w:val="2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Cs w:val="21"/>
                      <w:highlight w:val="none"/>
                      <w:lang w:eastAsia="zh-CN"/>
                      <w14:textFill>
                        <w14:solidFill>
                          <w14:schemeClr w14:val="tx1"/>
                        </w14:solidFill>
                      </w14:textFill>
                    </w:rPr>
                    <w:t>），同时添加絮凝沉淀剂（PAM、PAC），上清液回用于厂区抑尘用水。</w:t>
                  </w:r>
                </w:p>
              </w:tc>
              <w:tc>
                <w:tcPr>
                  <w:tcW w:w="1202" w:type="dxa"/>
                  <w:vAlign w:val="center"/>
                </w:tcPr>
                <w:p w14:paraId="4009910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2CAF6F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01E4CF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6E562D8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1F5622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2BF9230F">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养护</w:t>
                  </w:r>
                  <w:r>
                    <w:rPr>
                      <w:rFonts w:hint="eastAsia" w:ascii="Times New Roman" w:hAnsi="Times New Roman" w:eastAsia="宋体"/>
                      <w:color w:val="000000" w:themeColor="text1"/>
                      <w:szCs w:val="21"/>
                      <w:highlight w:val="none"/>
                      <w:lang w:val="en-US" w:eastAsia="zh-CN"/>
                      <w14:textFill>
                        <w14:solidFill>
                          <w14:schemeClr w14:val="tx1"/>
                        </w14:solidFill>
                      </w14:textFill>
                    </w:rPr>
                    <w:t>/蒸养</w:t>
                  </w:r>
                  <w:r>
                    <w:rPr>
                      <w:rFonts w:hint="eastAsia" w:ascii="Times New Roman" w:hAnsi="Times New Roman" w:eastAsia="宋体"/>
                      <w:color w:val="000000" w:themeColor="text1"/>
                      <w:szCs w:val="21"/>
                      <w:highlight w:val="none"/>
                      <w:lang w:eastAsia="zh-CN"/>
                      <w14:textFill>
                        <w14:solidFill>
                          <w14:schemeClr w14:val="tx1"/>
                        </w14:solidFill>
                      </w14:textFill>
                    </w:rPr>
                    <w:t>废水：设置沉淀池（1</w:t>
                  </w:r>
                  <w:r>
                    <w:rPr>
                      <w:rFonts w:hint="eastAsia" w:ascii="Times New Roman" w:hAnsi="Times New Roman" w:eastAsia="宋体"/>
                      <w:color w:val="000000" w:themeColor="text1"/>
                      <w:szCs w:val="21"/>
                      <w:highlight w:val="none"/>
                      <w:lang w:val="en-US" w:eastAsia="zh-CN"/>
                      <w14:textFill>
                        <w14:solidFill>
                          <w14:schemeClr w14:val="tx1"/>
                        </w14:solidFill>
                      </w14:textFill>
                    </w:rPr>
                    <w:t>0</w:t>
                  </w:r>
                  <w:r>
                    <w:rPr>
                      <w:rFonts w:hint="eastAsia" w:ascii="Times New Roman" w:hAnsi="Times New Roman" w:eastAsia="宋体"/>
                      <w:color w:val="000000" w:themeColor="text1"/>
                      <w:szCs w:val="21"/>
                      <w:highlight w:val="none"/>
                      <w:lang w:eastAsia="zh-CN"/>
                      <w14:textFill>
                        <w14:solidFill>
                          <w14:schemeClr w14:val="tx1"/>
                        </w14:solidFill>
                      </w14:textFill>
                    </w:rPr>
                    <w:t>m</w:t>
                  </w:r>
                  <w:r>
                    <w:rPr>
                      <w:rFonts w:hint="eastAsia" w:ascii="Times New Roman" w:hAnsi="Times New Roman" w:eastAsia="宋体"/>
                      <w:color w:val="000000" w:themeColor="text1"/>
                      <w:szCs w:val="2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szCs w:val="21"/>
                      <w:highlight w:val="none"/>
                      <w:lang w:eastAsia="zh-CN"/>
                      <w14:textFill>
                        <w14:solidFill>
                          <w14:schemeClr w14:val="tx1"/>
                        </w14:solidFill>
                      </w14:textFill>
                    </w:rPr>
                    <w:t>），经沉淀后回用于洒水降尘等。</w:t>
                  </w:r>
                </w:p>
              </w:tc>
              <w:tc>
                <w:tcPr>
                  <w:tcW w:w="1202" w:type="dxa"/>
                  <w:vAlign w:val="center"/>
                </w:tcPr>
                <w:p w14:paraId="4E536CB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091035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7FECA8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68FB27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8C616D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16E440C6">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运输车辆冲洗废水：运输车辆冲洗废水经隔油沉淀池（6m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）处理后回用于车辆冲洗，不外排</w:t>
                  </w:r>
                </w:p>
              </w:tc>
              <w:tc>
                <w:tcPr>
                  <w:tcW w:w="1202" w:type="dxa"/>
                  <w:vAlign w:val="center"/>
                </w:tcPr>
                <w:p w14:paraId="5C8AE1B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25181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39B2B4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093B034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6B70732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7143889F">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 w:val="18"/>
                      <w:szCs w:val="18"/>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食堂餐饮废水：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1个油水分离器（0.5m³）处理后排入</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，同生活污水一同处置</w:t>
                  </w:r>
                </w:p>
                <w:p w14:paraId="07E04913">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生活污水（含食堂废水）：</w:t>
                  </w:r>
                  <w:r>
                    <w:rPr>
                      <w:rFonts w:hint="eastAsia" w:ascii="Times New Roman" w:hAnsi="Times New Roman" w:eastAsia="宋体"/>
                      <w:color w:val="000000" w:themeColor="text1"/>
                      <w:szCs w:val="21"/>
                      <w:highlight w:val="none"/>
                      <w:lang w:eastAsia="zh-CN"/>
                      <w14:textFill>
                        <w14:solidFill>
                          <w14:schemeClr w14:val="tx1"/>
                        </w14:solidFill>
                      </w14:textFill>
                    </w:rPr>
                    <w:t>经</w:t>
                  </w:r>
                  <w:r>
                    <w:rPr>
                      <w:rFonts w:hint="eastAsia" w:ascii="Times New Roman" w:hAnsi="Times New Roman" w:eastAsia="宋体"/>
                      <w:color w:val="000000" w:themeColor="text1"/>
                      <w:szCs w:val="21"/>
                      <w:highlight w:val="none"/>
                      <w14:textFill>
                        <w14:solidFill>
                          <w14:schemeClr w14:val="tx1"/>
                        </w14:solidFill>
                      </w14:textFill>
                    </w:rPr>
                    <w:t>化粪池（容积</w:t>
                  </w:r>
                  <w:r>
                    <w:rPr>
                      <w:rFonts w:hint="eastAsia" w:ascii="Times New Roman" w:hAnsi="Times New Roman" w:eastAsia="宋体"/>
                      <w:color w:val="000000" w:themeColor="text1"/>
                      <w:szCs w:val="21"/>
                      <w:highlight w:val="none"/>
                      <w:lang w:val="en-US" w:eastAsia="zh-CN"/>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0m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处理后由吸污车拉运至宝梵</w:t>
                  </w:r>
                  <w:r>
                    <w:rPr>
                      <w:rFonts w:hint="eastAsia" w:ascii="Times New Roman" w:hAnsi="Times New Roman" w:eastAsia="宋体"/>
                      <w:color w:val="000000" w:themeColor="text1"/>
                      <w:szCs w:val="21"/>
                      <w:highlight w:val="none"/>
                      <w14:textFill>
                        <w14:solidFill>
                          <w14:schemeClr w14:val="tx1"/>
                        </w14:solidFill>
                      </w14:textFill>
                    </w:rPr>
                    <w:t>污水处理厂</w:t>
                  </w:r>
                  <w:r>
                    <w:rPr>
                      <w:rFonts w:hint="eastAsia" w:ascii="Times New Roman" w:hAnsi="Times New Roman" w:eastAsia="宋体"/>
                      <w:color w:val="000000" w:themeColor="text1"/>
                      <w:szCs w:val="21"/>
                      <w:highlight w:val="none"/>
                      <w:lang w:eastAsia="zh-CN"/>
                      <w14:textFill>
                        <w14:solidFill>
                          <w14:schemeClr w14:val="tx1"/>
                        </w14:solidFill>
                      </w14:textFill>
                    </w:rPr>
                    <w:t>处理后达标排放</w:t>
                  </w:r>
                </w:p>
              </w:tc>
              <w:tc>
                <w:tcPr>
                  <w:tcW w:w="1202" w:type="dxa"/>
                  <w:vAlign w:val="center"/>
                </w:tcPr>
                <w:p w14:paraId="203D077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31F0F33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620B1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0783A8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9077FC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5BDF236E">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初期雨水：进入</w:t>
                  </w:r>
                  <w:r>
                    <w:rPr>
                      <w:rFonts w:hint="eastAsia" w:ascii="Times New Roman" w:hAnsi="Times New Roman" w:eastAsia="宋体"/>
                      <w:color w:val="000000" w:themeColor="text1"/>
                      <w:szCs w:val="21"/>
                      <w:highlight w:val="none"/>
                      <w:lang w:eastAsia="zh-CN"/>
                      <w14:textFill>
                        <w14:solidFill>
                          <w14:schemeClr w14:val="tx1"/>
                        </w14:solidFill>
                      </w14:textFill>
                    </w:rPr>
                    <w:t>雨水收集池</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 w:val="21"/>
                      <w:szCs w:val="21"/>
                      <w:highlight w:val="none"/>
                      <w14:textFill>
                        <w14:solidFill>
                          <w14:schemeClr w14:val="tx1"/>
                        </w14:solidFill>
                      </w14:textFill>
                    </w:rPr>
                    <w:t>容积</w:t>
                  </w:r>
                  <w:r>
                    <w:rPr>
                      <w:rFonts w:hint="eastAsia" w:ascii="Times New Roman" w:hAnsi="Times New Roman" w:eastAsia="宋体"/>
                      <w:color w:val="000000" w:themeColor="text1"/>
                      <w:sz w:val="21"/>
                      <w:szCs w:val="21"/>
                      <w:highlight w:val="none"/>
                      <w:lang w:val="en-US" w:eastAsia="zh-CN"/>
                      <w14:textFill>
                        <w14:solidFill>
                          <w14:schemeClr w14:val="tx1"/>
                        </w14:solidFill>
                      </w14:textFill>
                    </w:rPr>
                    <w:t>200</w:t>
                  </w:r>
                  <w:r>
                    <w:rPr>
                      <w:rFonts w:hint="eastAsia" w:ascii="Times New Roman" w:hAnsi="Times New Roman" w:eastAsia="宋体"/>
                      <w:color w:val="000000" w:themeColor="text1"/>
                      <w:sz w:val="21"/>
                      <w:szCs w:val="21"/>
                      <w:highlight w:val="none"/>
                      <w14:textFill>
                        <w14:solidFill>
                          <w14:schemeClr w14:val="tx1"/>
                        </w14:solidFill>
                      </w14:textFill>
                    </w:rPr>
                    <w:t>m</w:t>
                  </w:r>
                  <w:r>
                    <w:rPr>
                      <w:rFonts w:hint="eastAsia" w:ascii="Times New Roman" w:hAnsi="Times New Roman" w:eastAsia="宋体"/>
                      <w:color w:val="000000" w:themeColor="text1"/>
                      <w:sz w:val="2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）处理，处理后回用于生产用水，不外排</w:t>
                  </w:r>
                </w:p>
              </w:tc>
              <w:tc>
                <w:tcPr>
                  <w:tcW w:w="1202" w:type="dxa"/>
                  <w:vAlign w:val="center"/>
                </w:tcPr>
                <w:p w14:paraId="0E53D3F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40DF10F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3269C1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D74815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23E7CEB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噪声</w:t>
                  </w:r>
                </w:p>
              </w:tc>
              <w:tc>
                <w:tcPr>
                  <w:tcW w:w="4223" w:type="dxa"/>
                  <w:vAlign w:val="center"/>
                </w:tcPr>
                <w:p w14:paraId="79CC8F00">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厂房隔音、基础减震、合理布局、定期维护设备</w:t>
                  </w:r>
                </w:p>
              </w:tc>
              <w:tc>
                <w:tcPr>
                  <w:tcW w:w="1202" w:type="dxa"/>
                  <w:vAlign w:val="center"/>
                </w:tcPr>
                <w:p w14:paraId="3D631D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146AD8A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噪声</w:t>
                  </w:r>
                </w:p>
              </w:tc>
            </w:tr>
            <w:tr w14:paraId="58C6AF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450A346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restart"/>
                  <w:vAlign w:val="center"/>
                </w:tcPr>
                <w:p w14:paraId="664CAE1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固体废物</w:t>
                  </w:r>
                </w:p>
              </w:tc>
              <w:tc>
                <w:tcPr>
                  <w:tcW w:w="4223" w:type="dxa"/>
                  <w:vAlign w:val="center"/>
                </w:tcPr>
                <w:p w14:paraId="150E83EF">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生活垃圾统一收集后由环卫部门处理</w:t>
                  </w:r>
                  <w:r>
                    <w:rPr>
                      <w:rFonts w:hint="eastAsia" w:ascii="Times New Roman" w:hAnsi="Times New Roman" w:eastAsia="宋体"/>
                      <w:color w:val="000000" w:themeColor="text1"/>
                      <w:szCs w:val="21"/>
                      <w:highlight w:val="none"/>
                      <w:lang w:eastAsia="zh-CN"/>
                      <w14:textFill>
                        <w14:solidFill>
                          <w14:schemeClr w14:val="tx1"/>
                        </w14:solidFill>
                      </w14:textFill>
                    </w:rPr>
                    <w:t>；餐厨垃圾及食堂油水分离器废油脂交由相应资质单位处置。</w:t>
                  </w:r>
                </w:p>
              </w:tc>
              <w:tc>
                <w:tcPr>
                  <w:tcW w:w="1202" w:type="dxa"/>
                  <w:vAlign w:val="center"/>
                </w:tcPr>
                <w:p w14:paraId="4406254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Merge w:val="restart"/>
                  <w:vAlign w:val="center"/>
                </w:tcPr>
                <w:p w14:paraId="58367AB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固体废物</w:t>
                  </w:r>
                </w:p>
              </w:tc>
            </w:tr>
            <w:tr w14:paraId="4EB0F6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483D532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468C496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267F3C27">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 w:val="21"/>
                      <w:szCs w:val="21"/>
                      <w:highlight w:val="none"/>
                      <w14:textFill>
                        <w14:solidFill>
                          <w14:schemeClr w14:val="tx1"/>
                        </w14:solidFill>
                      </w14:textFill>
                    </w:rPr>
                    <w:t>收尘系统收集的粉尘</w:t>
                  </w:r>
                  <w:r>
                    <w:rPr>
                      <w:rFonts w:hint="eastAsia" w:ascii="Times New Roman" w:hAnsi="Times New Roman" w:eastAsia="宋体"/>
                      <w:color w:val="000000" w:themeColor="text1"/>
                      <w:sz w:val="21"/>
                      <w:szCs w:val="21"/>
                      <w:highlight w:val="none"/>
                      <w14:textFill>
                        <w14:solidFill>
                          <w14:schemeClr w14:val="tx1"/>
                        </w14:solidFill>
                      </w14:textFill>
                    </w:rPr>
                    <w:t>回用于生产；沉淀池污泥定期进行清掏，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经设置压滤机脱水后，泥饼及检验室硬化混凝土块</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p>
              </w:tc>
              <w:tc>
                <w:tcPr>
                  <w:tcW w:w="1202" w:type="dxa"/>
                  <w:vAlign w:val="center"/>
                </w:tcPr>
                <w:p w14:paraId="1908104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Merge w:val="continue"/>
                  <w:vAlign w:val="center"/>
                </w:tcPr>
                <w:p w14:paraId="2838699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185D55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728" w:type="dxa"/>
                  <w:vMerge w:val="continue"/>
                  <w:vAlign w:val="center"/>
                </w:tcPr>
                <w:p w14:paraId="1E9C6D1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E53466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45605EA6">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危险废物收集后暂存于危废暂存间</w:t>
                  </w:r>
                  <w:r>
                    <w:rPr>
                      <w:rFonts w:hint="eastAsia" w:ascii="Times New Roman" w:hAnsi="Times New Roman" w:eastAsia="宋体"/>
                      <w:color w:val="000000" w:themeColor="text1"/>
                      <w:szCs w:val="21"/>
                      <w:highlight w:val="none"/>
                      <w:lang w:eastAsia="zh-CN"/>
                      <w14:textFill>
                        <w14:solidFill>
                          <w14:schemeClr w14:val="tx1"/>
                        </w14:solidFill>
                      </w14:textFill>
                    </w:rPr>
                    <w:t>（钢筋加工场南侧，</w:t>
                  </w:r>
                  <w:r>
                    <w:rPr>
                      <w:rFonts w:hint="eastAsia" w:ascii="Times New Roman" w:hAnsi="Times New Roman" w:eastAsia="宋体"/>
                      <w:color w:val="000000" w:themeColor="text1"/>
                      <w:szCs w:val="21"/>
                      <w:highlight w:val="none"/>
                      <w:lang w:val="en-US" w:eastAsia="zh-CN"/>
                      <w14:textFill>
                        <w14:solidFill>
                          <w14:schemeClr w14:val="tx1"/>
                        </w14:solidFill>
                      </w14:textFill>
                    </w:rPr>
                    <w:t>3m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Cs w:val="21"/>
                      <w:highlight w:val="none"/>
                      <w:lang w:eastAsia="zh-CN"/>
                      <w14:textFill>
                        <w14:solidFill>
                          <w14:schemeClr w14:val="tx1"/>
                        </w14:solidFill>
                      </w14:textFill>
                    </w:rPr>
                    <w:t>）</w:t>
                  </w:r>
                  <w:r>
                    <w:rPr>
                      <w:rFonts w:hint="eastAsia" w:ascii="Times New Roman" w:hAnsi="Times New Roman" w:eastAsia="宋体"/>
                      <w:color w:val="000000" w:themeColor="text1"/>
                      <w:szCs w:val="21"/>
                      <w:highlight w:val="none"/>
                      <w14:textFill>
                        <w14:solidFill>
                          <w14:schemeClr w14:val="tx1"/>
                        </w14:solidFill>
                      </w14:textFill>
                    </w:rPr>
                    <w:t>，交由有资质的单位处理</w:t>
                  </w:r>
                  <w:r>
                    <w:rPr>
                      <w:rFonts w:hint="eastAsia" w:ascii="Times New Roman" w:hAnsi="Times New Roman" w:eastAsia="宋体"/>
                      <w:color w:val="000000" w:themeColor="text1"/>
                      <w:szCs w:val="21"/>
                      <w:highlight w:val="none"/>
                      <w:lang w:eastAsia="zh-CN"/>
                      <w14:textFill>
                        <w14:solidFill>
                          <w14:schemeClr w14:val="tx1"/>
                        </w14:solidFill>
                      </w14:textFill>
                    </w:rPr>
                    <w:t>。</w:t>
                  </w:r>
                </w:p>
              </w:tc>
              <w:tc>
                <w:tcPr>
                  <w:tcW w:w="1202" w:type="dxa"/>
                  <w:vAlign w:val="center"/>
                </w:tcPr>
                <w:p w14:paraId="353C639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Merge w:val="continue"/>
                  <w:vAlign w:val="center"/>
                </w:tcPr>
                <w:p w14:paraId="46BE623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bl>
          <w:p w14:paraId="30CA3C3E">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宋体" w:hAnsi="宋体" w:eastAsia="宋体"/>
                <w:b/>
                <w:bCs/>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五</w:t>
            </w:r>
            <w:r>
              <w:rPr>
                <w:rFonts w:hint="eastAsia" w:ascii="宋体" w:hAnsi="宋体" w:eastAsia="宋体"/>
                <w:b/>
                <w:bCs/>
                <w:color w:val="000000" w:themeColor="text1"/>
                <w:sz w:val="24"/>
                <w:highlight w:val="none"/>
                <w14:textFill>
                  <w14:solidFill>
                    <w14:schemeClr w14:val="tx1"/>
                  </w14:solidFill>
                </w14:textFill>
              </w:rPr>
              <w:t>、主要生产设备</w:t>
            </w:r>
          </w:p>
          <w:p w14:paraId="0BABD5C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本项目主要设备清单如下。</w:t>
            </w:r>
          </w:p>
          <w:p w14:paraId="58786F0C">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kern w:val="0"/>
                <w:sz w:val="18"/>
                <w:szCs w:val="18"/>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表</w:t>
            </w:r>
            <w:r>
              <w:rPr>
                <w:rFonts w:hint="eastAsia" w:ascii="Times New Roman" w:hAnsi="Times New Roman" w:eastAsia="宋体" w:cs="Times New Roman"/>
                <w:b/>
                <w:bCs/>
                <w:color w:val="000000" w:themeColor="text1"/>
                <w:kern w:val="0"/>
                <w:sz w:val="21"/>
                <w:szCs w:val="21"/>
                <w:highlight w:val="none"/>
                <w:lang w:val="en-US" w:eastAsia="zh-CN"/>
                <w14:textFill>
                  <w14:solidFill>
                    <w14:schemeClr w14:val="tx1"/>
                  </w14:solidFill>
                </w14:textFill>
              </w:rPr>
              <w:t xml:space="preserve">2-7    </w:t>
            </w: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项目</w:t>
            </w:r>
            <w:r>
              <w:rPr>
                <w:rFonts w:hint="eastAsia" w:ascii="Times New Roman" w:hAnsi="Times New Roman" w:eastAsia="宋体" w:cs="Times New Roman"/>
                <w:b/>
                <w:bCs/>
                <w:color w:val="000000" w:themeColor="text1"/>
                <w:kern w:val="0"/>
                <w:sz w:val="21"/>
                <w:szCs w:val="21"/>
                <w:highlight w:val="none"/>
                <w:lang w:val="en-US" w:eastAsia="zh-CN"/>
                <w14:textFill>
                  <w14:solidFill>
                    <w14:schemeClr w14:val="tx1"/>
                  </w14:solidFill>
                </w14:textFill>
              </w:rPr>
              <w:t>混凝土生产</w:t>
            </w: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主要设施设备</w:t>
            </w:r>
          </w:p>
          <w:tbl>
            <w:tblPr>
              <w:tblStyle w:val="20"/>
              <w:tblW w:w="804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02"/>
              <w:gridCol w:w="1311"/>
              <w:gridCol w:w="1573"/>
              <w:gridCol w:w="1851"/>
              <w:gridCol w:w="611"/>
              <w:gridCol w:w="623"/>
              <w:gridCol w:w="735"/>
              <w:gridCol w:w="735"/>
            </w:tblGrid>
            <w:tr w14:paraId="110430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602" w:type="dxa"/>
                  <w:vMerge w:val="restart"/>
                  <w:noWrap w:val="0"/>
                  <w:vAlign w:val="center"/>
                </w:tcPr>
                <w:p w14:paraId="631136E8">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序号</w:t>
                  </w:r>
                </w:p>
              </w:tc>
              <w:tc>
                <w:tcPr>
                  <w:tcW w:w="2884" w:type="dxa"/>
                  <w:gridSpan w:val="2"/>
                  <w:vMerge w:val="restart"/>
                  <w:noWrap w:val="0"/>
                  <w:vAlign w:val="center"/>
                </w:tcPr>
                <w:p w14:paraId="428B417C">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设备名称</w:t>
                  </w:r>
                </w:p>
              </w:tc>
              <w:tc>
                <w:tcPr>
                  <w:tcW w:w="1851" w:type="dxa"/>
                  <w:vMerge w:val="restart"/>
                  <w:noWrap w:val="0"/>
                  <w:vAlign w:val="center"/>
                </w:tcPr>
                <w:p w14:paraId="777BE04D">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规格</w:t>
                  </w:r>
                </w:p>
              </w:tc>
              <w:tc>
                <w:tcPr>
                  <w:tcW w:w="611" w:type="dxa"/>
                  <w:vMerge w:val="restart"/>
                  <w:noWrap w:val="0"/>
                  <w:vAlign w:val="center"/>
                </w:tcPr>
                <w:p w14:paraId="34EB6DCE">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单位</w:t>
                  </w:r>
                </w:p>
              </w:tc>
              <w:tc>
                <w:tcPr>
                  <w:tcW w:w="623" w:type="dxa"/>
                  <w:vMerge w:val="restart"/>
                  <w:noWrap w:val="0"/>
                  <w:vAlign w:val="center"/>
                </w:tcPr>
                <w:p w14:paraId="13D2035D">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单条机组设置</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数量</w:t>
                  </w:r>
                </w:p>
              </w:tc>
              <w:tc>
                <w:tcPr>
                  <w:tcW w:w="1470" w:type="dxa"/>
                  <w:gridSpan w:val="2"/>
                  <w:noWrap w:val="0"/>
                  <w:vAlign w:val="center"/>
                </w:tcPr>
                <w:p w14:paraId="639ADB47">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备注</w:t>
                  </w:r>
                </w:p>
              </w:tc>
            </w:tr>
            <w:tr w14:paraId="0146CE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602" w:type="dxa"/>
                  <w:vMerge w:val="continue"/>
                  <w:noWrap w:val="0"/>
                  <w:vAlign w:val="center"/>
                </w:tcPr>
                <w:p w14:paraId="6F3970D6">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2884" w:type="dxa"/>
                  <w:gridSpan w:val="2"/>
                  <w:vMerge w:val="continue"/>
                  <w:noWrap w:val="0"/>
                  <w:vAlign w:val="center"/>
                </w:tcPr>
                <w:p w14:paraId="673B0189">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51" w:type="dxa"/>
                  <w:vMerge w:val="continue"/>
                  <w:noWrap w:val="0"/>
                  <w:vAlign w:val="center"/>
                </w:tcPr>
                <w:p w14:paraId="45983BA4">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611" w:type="dxa"/>
                  <w:vMerge w:val="continue"/>
                  <w:noWrap w:val="0"/>
                  <w:vAlign w:val="center"/>
                </w:tcPr>
                <w:p w14:paraId="0AD298E7">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623" w:type="dxa"/>
                  <w:vMerge w:val="continue"/>
                  <w:noWrap w:val="0"/>
                  <w:vAlign w:val="center"/>
                </w:tcPr>
                <w:p w14:paraId="39E7DB42">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735" w:type="dxa"/>
                  <w:noWrap w:val="0"/>
                  <w:vAlign w:val="center"/>
                </w:tcPr>
                <w:p w14:paraId="2FC42F40">
                  <w:pPr>
                    <w:widowControl/>
                    <w:jc w:val="cente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机组</w:t>
                  </w:r>
                </w:p>
                <w:p w14:paraId="3080AB6C">
                  <w:pPr>
                    <w:widowControl/>
                    <w:jc w:val="cente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数量</w:t>
                  </w:r>
                </w:p>
              </w:tc>
              <w:tc>
                <w:tcPr>
                  <w:tcW w:w="735" w:type="dxa"/>
                  <w:noWrap w:val="0"/>
                  <w:vAlign w:val="center"/>
                </w:tcPr>
                <w:p w14:paraId="79C0C9EE">
                  <w:pPr>
                    <w:widowControl/>
                    <w:jc w:val="cente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全厂设备总数</w:t>
                  </w:r>
                </w:p>
              </w:tc>
            </w:tr>
            <w:tr w14:paraId="146A72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08E48BE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w:t>
                  </w:r>
                </w:p>
              </w:tc>
              <w:tc>
                <w:tcPr>
                  <w:tcW w:w="1311" w:type="dxa"/>
                  <w:vMerge w:val="restart"/>
                  <w:noWrap w:val="0"/>
                  <w:vAlign w:val="center"/>
                </w:tcPr>
                <w:p w14:paraId="6691C61B">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搅拌</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机</w:t>
                  </w:r>
                </w:p>
              </w:tc>
              <w:tc>
                <w:tcPr>
                  <w:tcW w:w="1573" w:type="dxa"/>
                  <w:noWrap w:val="0"/>
                  <w:vAlign w:val="center"/>
                </w:tcPr>
                <w:p w14:paraId="14CEA3C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搅拌装置</w:t>
                  </w:r>
                </w:p>
              </w:tc>
              <w:tc>
                <w:tcPr>
                  <w:tcW w:w="1851" w:type="dxa"/>
                  <w:noWrap w:val="0"/>
                  <w:vAlign w:val="center"/>
                </w:tcPr>
                <w:p w14:paraId="282E4D1B">
                  <w:pPr>
                    <w:widowControl/>
                    <w:jc w:val="center"/>
                    <w:rPr>
                      <w:rFonts w:hint="default" w:ascii="Times New Roman" w:hAnsi="Times New Roman" w:eastAsia="宋体" w:cs="Times New Roman"/>
                      <w:color w:val="000000" w:themeColor="text1"/>
                      <w:kern w:val="0"/>
                      <w:sz w:val="21"/>
                      <w:szCs w:val="21"/>
                      <w:highlight w:val="none"/>
                      <w:lang w:val="en-US"/>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HS180</w:t>
                  </w:r>
                </w:p>
              </w:tc>
              <w:tc>
                <w:tcPr>
                  <w:tcW w:w="611" w:type="dxa"/>
                  <w:noWrap w:val="0"/>
                  <w:vAlign w:val="center"/>
                </w:tcPr>
                <w:p w14:paraId="314E6C9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28FE5E6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restart"/>
                  <w:noWrap w:val="0"/>
                  <w:vAlign w:val="center"/>
                </w:tcPr>
                <w:p w14:paraId="113FC78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4143B16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29B626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7E9107F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5654899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7D48007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电机</w:t>
                  </w:r>
                </w:p>
              </w:tc>
              <w:tc>
                <w:tcPr>
                  <w:tcW w:w="1851" w:type="dxa"/>
                  <w:noWrap w:val="0"/>
                  <w:vAlign w:val="center"/>
                </w:tcPr>
                <w:p w14:paraId="6DB87F3D">
                  <w:pPr>
                    <w:widowControl/>
                    <w:jc w:val="cente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611" w:type="dxa"/>
                  <w:noWrap w:val="0"/>
                  <w:vAlign w:val="center"/>
                </w:tcPr>
                <w:p w14:paraId="16DF56C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46A347A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4E5B4FB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25FC0F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7AD86B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09FF43D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3B231CA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7EA2E11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减速机</w:t>
                  </w:r>
                </w:p>
              </w:tc>
              <w:tc>
                <w:tcPr>
                  <w:tcW w:w="1851" w:type="dxa"/>
                  <w:noWrap w:val="0"/>
                  <w:vAlign w:val="center"/>
                </w:tcPr>
                <w:p w14:paraId="0DFE0EE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BD10A8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132F71D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3ADC0F2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1BD8A20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4FF6E5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745F11C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7614AE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532ADB3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卸料装置</w:t>
                  </w:r>
                </w:p>
              </w:tc>
              <w:tc>
                <w:tcPr>
                  <w:tcW w:w="1851" w:type="dxa"/>
                  <w:noWrap w:val="0"/>
                  <w:vAlign w:val="center"/>
                </w:tcPr>
                <w:p w14:paraId="05A4696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带手动泵</w:t>
                  </w:r>
                </w:p>
              </w:tc>
              <w:tc>
                <w:tcPr>
                  <w:tcW w:w="611" w:type="dxa"/>
                  <w:noWrap w:val="0"/>
                  <w:vAlign w:val="center"/>
                </w:tcPr>
                <w:p w14:paraId="56FAD33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281A88E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29011F8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D87026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33EFC5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54" w:hRule="atLeast"/>
                <w:jc w:val="center"/>
              </w:trPr>
              <w:tc>
                <w:tcPr>
                  <w:tcW w:w="602" w:type="dxa"/>
                  <w:vMerge w:val="continue"/>
                  <w:noWrap w:val="0"/>
                  <w:vAlign w:val="center"/>
                </w:tcPr>
                <w:p w14:paraId="7DD44A6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A39AC9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541615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润滑系统</w:t>
                  </w:r>
                </w:p>
              </w:tc>
              <w:tc>
                <w:tcPr>
                  <w:tcW w:w="1851" w:type="dxa"/>
                  <w:noWrap w:val="0"/>
                  <w:vAlign w:val="center"/>
                </w:tcPr>
                <w:p w14:paraId="478D2D5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油罐、电动泵、过滤器、压力表、分配器</w:t>
                  </w:r>
                </w:p>
              </w:tc>
              <w:tc>
                <w:tcPr>
                  <w:tcW w:w="611" w:type="dxa"/>
                  <w:noWrap w:val="0"/>
                  <w:vAlign w:val="center"/>
                </w:tcPr>
                <w:p w14:paraId="59652F8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104E4C4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51D73DE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132DC90">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129E76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2FF8489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2</w:t>
                  </w:r>
                </w:p>
              </w:tc>
              <w:tc>
                <w:tcPr>
                  <w:tcW w:w="1311" w:type="dxa"/>
                  <w:vMerge w:val="restart"/>
                  <w:noWrap w:val="0"/>
                  <w:vAlign w:val="center"/>
                </w:tcPr>
                <w:p w14:paraId="7C36DE8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配料</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装置</w:t>
                  </w:r>
                </w:p>
              </w:tc>
              <w:tc>
                <w:tcPr>
                  <w:tcW w:w="1573" w:type="dxa"/>
                  <w:noWrap w:val="0"/>
                  <w:vAlign w:val="center"/>
                </w:tcPr>
                <w:p w14:paraId="45B21C9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骨料仓</w:t>
                  </w:r>
                </w:p>
              </w:tc>
              <w:tc>
                <w:tcPr>
                  <w:tcW w:w="1851" w:type="dxa"/>
                  <w:noWrap w:val="0"/>
                  <w:vAlign w:val="center"/>
                </w:tcPr>
                <w:p w14:paraId="1629A37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2.4m</w:t>
                  </w:r>
                  <w:r>
                    <w:rPr>
                      <w:rFonts w:hint="default" w:ascii="Times New Roman" w:hAnsi="Times New Roman" w:eastAsia="宋体" w:cs="Times New Roman"/>
                      <w:color w:val="000000" w:themeColor="text1"/>
                      <w:kern w:val="0"/>
                      <w:sz w:val="21"/>
                      <w:szCs w:val="21"/>
                      <w:highlight w:val="none"/>
                      <w:vertAlign w:val="superscript"/>
                      <w14:textFill>
                        <w14:solidFill>
                          <w14:schemeClr w14:val="tx1"/>
                        </w14:solidFill>
                      </w14:textFill>
                    </w:rPr>
                    <w:t>3</w:t>
                  </w:r>
                </w:p>
              </w:tc>
              <w:tc>
                <w:tcPr>
                  <w:tcW w:w="611" w:type="dxa"/>
                  <w:noWrap w:val="0"/>
                  <w:vAlign w:val="center"/>
                </w:tcPr>
                <w:p w14:paraId="0CC620C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48249E5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w:t>
                  </w:r>
                </w:p>
              </w:tc>
              <w:tc>
                <w:tcPr>
                  <w:tcW w:w="735" w:type="dxa"/>
                  <w:vMerge w:val="restart"/>
                  <w:noWrap w:val="0"/>
                  <w:vAlign w:val="center"/>
                </w:tcPr>
                <w:p w14:paraId="62176338">
                  <w:pPr>
                    <w:widowControl/>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5FF47AC">
                  <w:pPr>
                    <w:widowControl/>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10</w:t>
                  </w:r>
                </w:p>
              </w:tc>
            </w:tr>
            <w:tr w14:paraId="1865E2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1E3192B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C2C437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1EBC7DD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计量仓</w:t>
                  </w:r>
                </w:p>
              </w:tc>
              <w:tc>
                <w:tcPr>
                  <w:tcW w:w="1851" w:type="dxa"/>
                  <w:noWrap w:val="0"/>
                  <w:vAlign w:val="center"/>
                </w:tcPr>
                <w:p w14:paraId="13A9603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1.2m</w:t>
                  </w:r>
                  <w:r>
                    <w:rPr>
                      <w:rFonts w:hint="default" w:ascii="Times New Roman" w:hAnsi="Times New Roman" w:eastAsia="宋体" w:cs="Times New Roman"/>
                      <w:color w:val="000000" w:themeColor="text1"/>
                      <w:kern w:val="0"/>
                      <w:sz w:val="21"/>
                      <w:szCs w:val="21"/>
                      <w:highlight w:val="none"/>
                      <w:vertAlign w:val="superscript"/>
                      <w14:textFill>
                        <w14:solidFill>
                          <w14:schemeClr w14:val="tx1"/>
                        </w14:solidFill>
                      </w14:textFill>
                    </w:rPr>
                    <w:t>3</w:t>
                  </w:r>
                </w:p>
              </w:tc>
              <w:tc>
                <w:tcPr>
                  <w:tcW w:w="611" w:type="dxa"/>
                  <w:noWrap w:val="0"/>
                  <w:vAlign w:val="center"/>
                </w:tcPr>
                <w:p w14:paraId="20E5EB1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28819CD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w:t>
                  </w:r>
                </w:p>
              </w:tc>
              <w:tc>
                <w:tcPr>
                  <w:tcW w:w="735" w:type="dxa"/>
                  <w:vMerge w:val="continue"/>
                  <w:noWrap w:val="0"/>
                  <w:vAlign w:val="center"/>
                </w:tcPr>
                <w:p w14:paraId="4F27864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904C00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10</w:t>
                  </w:r>
                </w:p>
              </w:tc>
            </w:tr>
            <w:tr w14:paraId="107B32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602" w:type="dxa"/>
                  <w:vMerge w:val="continue"/>
                  <w:noWrap w:val="0"/>
                  <w:vAlign w:val="center"/>
                </w:tcPr>
                <w:p w14:paraId="4BD168D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2757D8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7065880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皮带</w:t>
                  </w:r>
                </w:p>
              </w:tc>
              <w:tc>
                <w:tcPr>
                  <w:tcW w:w="1851" w:type="dxa"/>
                  <w:noWrap w:val="0"/>
                  <w:vAlign w:val="center"/>
                </w:tcPr>
                <w:p w14:paraId="2DAB693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800mm</w:t>
                  </w:r>
                </w:p>
              </w:tc>
              <w:tc>
                <w:tcPr>
                  <w:tcW w:w="611" w:type="dxa"/>
                  <w:noWrap w:val="0"/>
                  <w:vAlign w:val="center"/>
                </w:tcPr>
                <w:p w14:paraId="375A6FA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条</w:t>
                  </w:r>
                </w:p>
              </w:tc>
              <w:tc>
                <w:tcPr>
                  <w:tcW w:w="623" w:type="dxa"/>
                  <w:noWrap w:val="0"/>
                  <w:vAlign w:val="center"/>
                </w:tcPr>
                <w:p w14:paraId="1AE9E2E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02EAC0F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2616E61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0607B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602" w:type="dxa"/>
                  <w:vMerge w:val="continue"/>
                  <w:noWrap w:val="0"/>
                  <w:vAlign w:val="center"/>
                </w:tcPr>
                <w:p w14:paraId="4AFC001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60FC1C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E8FAFC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驱动装置</w:t>
                  </w:r>
                </w:p>
              </w:tc>
              <w:tc>
                <w:tcPr>
                  <w:tcW w:w="1851" w:type="dxa"/>
                  <w:noWrap w:val="0"/>
                  <w:vAlign w:val="center"/>
                </w:tcPr>
                <w:p w14:paraId="2DE1C541">
                  <w:pPr>
                    <w:widowControl/>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611" w:type="dxa"/>
                  <w:noWrap w:val="0"/>
                  <w:vAlign w:val="center"/>
                </w:tcPr>
                <w:p w14:paraId="21B5E5A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7600FD9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13D915E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693F803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38E545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0777D55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FB4D72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17EBE33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气缸</w:t>
                  </w:r>
                </w:p>
              </w:tc>
              <w:tc>
                <w:tcPr>
                  <w:tcW w:w="1851" w:type="dxa"/>
                  <w:noWrap w:val="0"/>
                  <w:vAlign w:val="center"/>
                </w:tcPr>
                <w:p w14:paraId="48EF7C5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Sc100*250</w:t>
                  </w:r>
                </w:p>
              </w:tc>
              <w:tc>
                <w:tcPr>
                  <w:tcW w:w="611" w:type="dxa"/>
                  <w:noWrap w:val="0"/>
                  <w:vAlign w:val="center"/>
                </w:tcPr>
                <w:p w14:paraId="2693600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5A265E3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735" w:type="dxa"/>
                  <w:vMerge w:val="continue"/>
                  <w:noWrap w:val="0"/>
                  <w:vAlign w:val="center"/>
                </w:tcPr>
                <w:p w14:paraId="63F5DA9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6031EE3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24</w:t>
                  </w:r>
                </w:p>
              </w:tc>
            </w:tr>
            <w:tr w14:paraId="06B0A5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43FA51D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876023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35BBD56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振动器</w:t>
                  </w:r>
                </w:p>
              </w:tc>
              <w:tc>
                <w:tcPr>
                  <w:tcW w:w="1851" w:type="dxa"/>
                  <w:noWrap w:val="0"/>
                  <w:vAlign w:val="center"/>
                </w:tcPr>
                <w:p w14:paraId="2B7F721E">
                  <w:pPr>
                    <w:widowControl/>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611" w:type="dxa"/>
                  <w:noWrap w:val="0"/>
                  <w:vAlign w:val="center"/>
                </w:tcPr>
                <w:p w14:paraId="0A62B0A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5145286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c>
                <w:tcPr>
                  <w:tcW w:w="735" w:type="dxa"/>
                  <w:vMerge w:val="continue"/>
                  <w:noWrap w:val="0"/>
                  <w:vAlign w:val="center"/>
                </w:tcPr>
                <w:p w14:paraId="4BB5777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BD3DD6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r>
            <w:tr w14:paraId="2C2A30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269F963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4D3CE23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5365CF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承重传感器</w:t>
                  </w:r>
                </w:p>
              </w:tc>
              <w:tc>
                <w:tcPr>
                  <w:tcW w:w="1851" w:type="dxa"/>
                  <w:noWrap w:val="0"/>
                  <w:vAlign w:val="center"/>
                </w:tcPr>
                <w:p w14:paraId="25129C5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1000kg</w:t>
                  </w:r>
                </w:p>
              </w:tc>
              <w:tc>
                <w:tcPr>
                  <w:tcW w:w="611" w:type="dxa"/>
                  <w:noWrap w:val="0"/>
                  <w:vAlign w:val="center"/>
                </w:tcPr>
                <w:p w14:paraId="5DF9022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只</w:t>
                  </w:r>
                </w:p>
              </w:tc>
              <w:tc>
                <w:tcPr>
                  <w:tcW w:w="623" w:type="dxa"/>
                  <w:noWrap w:val="0"/>
                  <w:vAlign w:val="center"/>
                </w:tcPr>
                <w:p w14:paraId="344CE98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735" w:type="dxa"/>
                  <w:vMerge w:val="continue"/>
                  <w:noWrap w:val="0"/>
                  <w:vAlign w:val="center"/>
                </w:tcPr>
                <w:p w14:paraId="77D06D4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5B26E69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24</w:t>
                  </w:r>
                </w:p>
              </w:tc>
            </w:tr>
            <w:tr w14:paraId="6F5ED1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7E2BAED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3</w:t>
                  </w:r>
                </w:p>
              </w:tc>
              <w:tc>
                <w:tcPr>
                  <w:tcW w:w="1311" w:type="dxa"/>
                  <w:vMerge w:val="restart"/>
                  <w:noWrap w:val="0"/>
                  <w:vAlign w:val="center"/>
                </w:tcPr>
                <w:p w14:paraId="38B55B91">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配料传送</w:t>
                  </w:r>
                </w:p>
                <w:p w14:paraId="6D0EDB61">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装置</w:t>
                  </w:r>
                </w:p>
              </w:tc>
              <w:tc>
                <w:tcPr>
                  <w:tcW w:w="1573" w:type="dxa"/>
                  <w:noWrap w:val="0"/>
                  <w:vAlign w:val="center"/>
                </w:tcPr>
                <w:p w14:paraId="7C97697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电动滚筒</w:t>
                  </w:r>
                </w:p>
              </w:tc>
              <w:tc>
                <w:tcPr>
                  <w:tcW w:w="1851" w:type="dxa"/>
                  <w:noWrap w:val="0"/>
                  <w:vAlign w:val="center"/>
                </w:tcPr>
                <w:p w14:paraId="6161982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30kw</w:t>
                  </w:r>
                </w:p>
              </w:tc>
              <w:tc>
                <w:tcPr>
                  <w:tcW w:w="611" w:type="dxa"/>
                  <w:noWrap w:val="0"/>
                  <w:vAlign w:val="center"/>
                </w:tcPr>
                <w:p w14:paraId="15770CD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5689492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45E84320">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462005B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4ADB3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206C23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8CD194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006DD97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皮带</w:t>
                  </w:r>
                </w:p>
              </w:tc>
              <w:tc>
                <w:tcPr>
                  <w:tcW w:w="1851" w:type="dxa"/>
                  <w:noWrap w:val="0"/>
                  <w:vAlign w:val="center"/>
                </w:tcPr>
                <w:p w14:paraId="63A886B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2315408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条</w:t>
                  </w:r>
                </w:p>
              </w:tc>
              <w:tc>
                <w:tcPr>
                  <w:tcW w:w="623" w:type="dxa"/>
                  <w:noWrap w:val="0"/>
                  <w:vAlign w:val="center"/>
                </w:tcPr>
                <w:p w14:paraId="16FDABA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2606405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5298FB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E1325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6EF0618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4</w:t>
                  </w:r>
                </w:p>
              </w:tc>
              <w:tc>
                <w:tcPr>
                  <w:tcW w:w="1311" w:type="dxa"/>
                  <w:vMerge w:val="restart"/>
                  <w:noWrap w:val="0"/>
                  <w:vAlign w:val="center"/>
                </w:tcPr>
                <w:p w14:paraId="36F07C6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搅拌主楼</w:t>
                  </w:r>
                </w:p>
              </w:tc>
              <w:tc>
                <w:tcPr>
                  <w:tcW w:w="1573" w:type="dxa"/>
                  <w:noWrap w:val="0"/>
                  <w:vAlign w:val="center"/>
                </w:tcPr>
                <w:p w14:paraId="19C0860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主体框架结构</w:t>
                  </w:r>
                </w:p>
              </w:tc>
              <w:tc>
                <w:tcPr>
                  <w:tcW w:w="1851" w:type="dxa"/>
                  <w:noWrap w:val="0"/>
                  <w:vAlign w:val="center"/>
                </w:tcPr>
                <w:p w14:paraId="09CA5D0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2C726E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197B30C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2BE6DC2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485A95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43C59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55D6445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340D245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846804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双层平台</w:t>
                  </w:r>
                </w:p>
              </w:tc>
              <w:tc>
                <w:tcPr>
                  <w:tcW w:w="1851" w:type="dxa"/>
                  <w:noWrap w:val="0"/>
                  <w:vAlign w:val="center"/>
                </w:tcPr>
                <w:p w14:paraId="69BA8A5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13F2469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3CADF686">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52D50FD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9BABAA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74962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3803F0D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161A84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346707F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称量架</w:t>
                  </w:r>
                </w:p>
              </w:tc>
              <w:tc>
                <w:tcPr>
                  <w:tcW w:w="1851" w:type="dxa"/>
                  <w:noWrap w:val="0"/>
                  <w:vAlign w:val="center"/>
                </w:tcPr>
                <w:p w14:paraId="08D5CF5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023DE04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4C8B605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1AD1ADA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A634CC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8E88A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53ED8D4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5</w:t>
                  </w:r>
                </w:p>
              </w:tc>
              <w:tc>
                <w:tcPr>
                  <w:tcW w:w="1311" w:type="dxa"/>
                  <w:vMerge w:val="restart"/>
                  <w:noWrap w:val="0"/>
                  <w:vAlign w:val="center"/>
                </w:tcPr>
                <w:p w14:paraId="3D2414D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污水-清水称量供给系统</w:t>
                  </w:r>
                </w:p>
              </w:tc>
              <w:tc>
                <w:tcPr>
                  <w:tcW w:w="1573" w:type="dxa"/>
                  <w:noWrap w:val="0"/>
                  <w:vAlign w:val="center"/>
                </w:tcPr>
                <w:p w14:paraId="1D1B0C7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秤斗</w:t>
                  </w:r>
                </w:p>
              </w:tc>
              <w:tc>
                <w:tcPr>
                  <w:tcW w:w="1851" w:type="dxa"/>
                  <w:noWrap w:val="0"/>
                  <w:vAlign w:val="center"/>
                </w:tcPr>
                <w:p w14:paraId="38C78B1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6B0D1B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106AB30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2AA2C27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5C48A41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64769F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14A5ED7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49FE73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FE3B74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传感器</w:t>
                  </w:r>
                </w:p>
              </w:tc>
              <w:tc>
                <w:tcPr>
                  <w:tcW w:w="1851" w:type="dxa"/>
                  <w:noWrap w:val="0"/>
                  <w:vAlign w:val="center"/>
                </w:tcPr>
                <w:p w14:paraId="1E2A0E3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500kg</w:t>
                  </w:r>
                </w:p>
              </w:tc>
              <w:tc>
                <w:tcPr>
                  <w:tcW w:w="611" w:type="dxa"/>
                  <w:noWrap w:val="0"/>
                  <w:vAlign w:val="center"/>
                </w:tcPr>
                <w:p w14:paraId="56C6382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1622990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c>
                <w:tcPr>
                  <w:tcW w:w="735" w:type="dxa"/>
                  <w:vMerge w:val="continue"/>
                  <w:noWrap w:val="0"/>
                  <w:vAlign w:val="center"/>
                </w:tcPr>
                <w:p w14:paraId="191E40C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F236B0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r>
            <w:tr w14:paraId="1CE08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0E46360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0E4435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6880C55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蝶阀</w:t>
                  </w:r>
                </w:p>
              </w:tc>
              <w:tc>
                <w:tcPr>
                  <w:tcW w:w="1851" w:type="dxa"/>
                  <w:noWrap w:val="0"/>
                  <w:vAlign w:val="center"/>
                </w:tcPr>
                <w:p w14:paraId="69F1E71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292839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3AA3142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3669DD1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E9CDCB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69BEE2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4CC30A0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397740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72ABBA3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供水水泵</w:t>
                  </w:r>
                </w:p>
              </w:tc>
              <w:tc>
                <w:tcPr>
                  <w:tcW w:w="1851" w:type="dxa"/>
                  <w:noWrap w:val="0"/>
                  <w:vAlign w:val="center"/>
                </w:tcPr>
                <w:p w14:paraId="521115B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B1ED24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74C99F3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062E57B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4EAA8C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705152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20ECDE3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0D34CB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00FAEFC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管道及阀门</w:t>
                  </w:r>
                </w:p>
              </w:tc>
              <w:tc>
                <w:tcPr>
                  <w:tcW w:w="1851" w:type="dxa"/>
                  <w:noWrap w:val="0"/>
                  <w:vAlign w:val="center"/>
                </w:tcPr>
                <w:p w14:paraId="236AB0C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E1CD64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3FBB5FB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02762C7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A141E2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1F1F68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51F2A8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515FFD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6D9DEBF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潜水式排污泵</w:t>
                  </w:r>
                </w:p>
              </w:tc>
              <w:tc>
                <w:tcPr>
                  <w:tcW w:w="1851" w:type="dxa"/>
                  <w:noWrap w:val="0"/>
                  <w:vAlign w:val="center"/>
                </w:tcPr>
                <w:p w14:paraId="7416A91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14AD2B6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68912C4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46ABF15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03CF6EE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3170E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96CAB5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76A730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C58456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污水管道</w:t>
                  </w:r>
                </w:p>
              </w:tc>
              <w:tc>
                <w:tcPr>
                  <w:tcW w:w="1851" w:type="dxa"/>
                  <w:noWrap w:val="0"/>
                  <w:vAlign w:val="center"/>
                </w:tcPr>
                <w:p w14:paraId="5CBB6D9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1A28D13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4B35BE7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1BC0A48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F4C686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36D7EF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38CDE76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6</w:t>
                  </w:r>
                </w:p>
              </w:tc>
              <w:tc>
                <w:tcPr>
                  <w:tcW w:w="2884" w:type="dxa"/>
                  <w:gridSpan w:val="2"/>
                  <w:noWrap w:val="0"/>
                  <w:vAlign w:val="center"/>
                </w:tcPr>
                <w:p w14:paraId="58D3760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水泥称量系统</w:t>
                  </w:r>
                </w:p>
              </w:tc>
              <w:tc>
                <w:tcPr>
                  <w:tcW w:w="1851" w:type="dxa"/>
                  <w:noWrap w:val="0"/>
                  <w:vAlign w:val="center"/>
                </w:tcPr>
                <w:p w14:paraId="1D2568D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605F1C7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5E2DE28D">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5D0F5C3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5A228CA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333C9A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5D847BD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7</w:t>
                  </w:r>
                </w:p>
              </w:tc>
              <w:tc>
                <w:tcPr>
                  <w:tcW w:w="2884" w:type="dxa"/>
                  <w:gridSpan w:val="2"/>
                  <w:noWrap w:val="0"/>
                  <w:vAlign w:val="center"/>
                </w:tcPr>
                <w:p w14:paraId="4B1A8C1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粉煤灰</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称量系统</w:t>
                  </w:r>
                </w:p>
              </w:tc>
              <w:tc>
                <w:tcPr>
                  <w:tcW w:w="1851" w:type="dxa"/>
                  <w:noWrap w:val="0"/>
                  <w:vAlign w:val="center"/>
                </w:tcPr>
                <w:p w14:paraId="5820A66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0C2B3D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74A5ED7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5F96507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5C9C611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6F66C4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767D5CE7">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c>
                <w:tcPr>
                  <w:tcW w:w="2884" w:type="dxa"/>
                  <w:gridSpan w:val="2"/>
                  <w:noWrap w:val="0"/>
                  <w:vAlign w:val="center"/>
                </w:tcPr>
                <w:p w14:paraId="015FD0C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外加剂称量供给系统</w:t>
                  </w:r>
                </w:p>
              </w:tc>
              <w:tc>
                <w:tcPr>
                  <w:tcW w:w="1851" w:type="dxa"/>
                  <w:noWrap w:val="0"/>
                  <w:vAlign w:val="center"/>
                </w:tcPr>
                <w:p w14:paraId="5AD44A0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3EC4262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3F16346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78F453DD">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3A13278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04937B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3279075F">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9</w:t>
                  </w:r>
                </w:p>
              </w:tc>
              <w:tc>
                <w:tcPr>
                  <w:tcW w:w="2884" w:type="dxa"/>
                  <w:gridSpan w:val="2"/>
                  <w:noWrap w:val="0"/>
                  <w:vAlign w:val="center"/>
                </w:tcPr>
                <w:p w14:paraId="15824D8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卸料装置</w:t>
                  </w:r>
                </w:p>
              </w:tc>
              <w:tc>
                <w:tcPr>
                  <w:tcW w:w="1851" w:type="dxa"/>
                  <w:noWrap w:val="0"/>
                  <w:vAlign w:val="center"/>
                </w:tcPr>
                <w:p w14:paraId="43BF25B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75DD5F7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183C489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69D15E36">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226534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744BA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4E38A860">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10</w:t>
                  </w:r>
                </w:p>
              </w:tc>
              <w:tc>
                <w:tcPr>
                  <w:tcW w:w="1311" w:type="dxa"/>
                  <w:vMerge w:val="restart"/>
                  <w:noWrap w:val="0"/>
                  <w:vAlign w:val="center"/>
                </w:tcPr>
                <w:p w14:paraId="776B25D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气动系统</w:t>
                  </w:r>
                </w:p>
              </w:tc>
              <w:tc>
                <w:tcPr>
                  <w:tcW w:w="1573" w:type="dxa"/>
                  <w:noWrap w:val="0"/>
                  <w:vAlign w:val="center"/>
                </w:tcPr>
                <w:p w14:paraId="2E739B4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空压机</w:t>
                  </w:r>
                </w:p>
              </w:tc>
              <w:tc>
                <w:tcPr>
                  <w:tcW w:w="1851" w:type="dxa"/>
                  <w:noWrap w:val="0"/>
                  <w:vAlign w:val="center"/>
                </w:tcPr>
                <w:p w14:paraId="0A15F1E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611" w:type="dxa"/>
                  <w:noWrap w:val="0"/>
                  <w:vAlign w:val="center"/>
                </w:tcPr>
                <w:p w14:paraId="4A967F5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344A9D6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59D7C7C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39CD93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0547E5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2092988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3C4C48A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DB4E8A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储气罐</w:t>
                  </w:r>
                </w:p>
              </w:tc>
              <w:tc>
                <w:tcPr>
                  <w:tcW w:w="1851" w:type="dxa"/>
                  <w:noWrap w:val="0"/>
                  <w:vAlign w:val="center"/>
                </w:tcPr>
                <w:p w14:paraId="269B16D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D88E3D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279A67B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1FB0E92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5DAD260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1845B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39AC8E6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DE7C45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0883BB7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电磁阀及管路</w:t>
                  </w:r>
                </w:p>
              </w:tc>
              <w:tc>
                <w:tcPr>
                  <w:tcW w:w="1851" w:type="dxa"/>
                  <w:noWrap w:val="0"/>
                  <w:vAlign w:val="center"/>
                </w:tcPr>
                <w:p w14:paraId="3C208EC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0CD29FD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54A770DD">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02A02F6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68E61B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50636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63C4DAA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11</w:t>
                  </w:r>
                </w:p>
              </w:tc>
              <w:tc>
                <w:tcPr>
                  <w:tcW w:w="2884" w:type="dxa"/>
                  <w:gridSpan w:val="2"/>
                  <w:noWrap w:val="0"/>
                  <w:vAlign w:val="center"/>
                </w:tcPr>
                <w:p w14:paraId="5FDBC1F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电控系统操作软件</w:t>
                  </w:r>
                </w:p>
              </w:tc>
              <w:tc>
                <w:tcPr>
                  <w:tcW w:w="1851" w:type="dxa"/>
                  <w:noWrap w:val="0"/>
                  <w:vAlign w:val="center"/>
                </w:tcPr>
                <w:p w14:paraId="2BC9141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326388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297EAF66">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5D9E6E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6D974D16">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025949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6366B16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2884" w:type="dxa"/>
                  <w:gridSpan w:val="2"/>
                  <w:noWrap w:val="0"/>
                  <w:vAlign w:val="center"/>
                </w:tcPr>
                <w:p w14:paraId="6935568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控制室</w:t>
                  </w:r>
                </w:p>
              </w:tc>
              <w:tc>
                <w:tcPr>
                  <w:tcW w:w="1851" w:type="dxa"/>
                  <w:noWrap w:val="0"/>
                  <w:vAlign w:val="center"/>
                </w:tcPr>
                <w:p w14:paraId="5E0B3F3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092DC07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座</w:t>
                  </w:r>
                </w:p>
              </w:tc>
              <w:tc>
                <w:tcPr>
                  <w:tcW w:w="623" w:type="dxa"/>
                  <w:noWrap w:val="0"/>
                  <w:vAlign w:val="center"/>
                </w:tcPr>
                <w:p w14:paraId="7A82854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2EFE00D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795D148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5B8FBE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7090E4A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13</w:t>
                  </w:r>
                </w:p>
              </w:tc>
              <w:tc>
                <w:tcPr>
                  <w:tcW w:w="1311" w:type="dxa"/>
                  <w:noWrap w:val="0"/>
                  <w:vAlign w:val="center"/>
                </w:tcPr>
                <w:p w14:paraId="32E14AF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螺旋输送机</w:t>
                  </w:r>
                </w:p>
              </w:tc>
              <w:tc>
                <w:tcPr>
                  <w:tcW w:w="1573" w:type="dxa"/>
                  <w:noWrap w:val="0"/>
                  <w:vAlign w:val="center"/>
                </w:tcPr>
                <w:p w14:paraId="1539863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螺旋输送机</w:t>
                  </w:r>
                </w:p>
              </w:tc>
              <w:tc>
                <w:tcPr>
                  <w:tcW w:w="1851" w:type="dxa"/>
                  <w:noWrap w:val="0"/>
                  <w:vAlign w:val="center"/>
                </w:tcPr>
                <w:p w14:paraId="62FC1EB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ϕ219</w:t>
                  </w:r>
                </w:p>
              </w:tc>
              <w:tc>
                <w:tcPr>
                  <w:tcW w:w="611" w:type="dxa"/>
                  <w:noWrap w:val="0"/>
                  <w:vAlign w:val="center"/>
                </w:tcPr>
                <w:p w14:paraId="78FA546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05BAE8E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c>
                <w:tcPr>
                  <w:tcW w:w="735" w:type="dxa"/>
                  <w:noWrap w:val="0"/>
                  <w:vAlign w:val="center"/>
                </w:tcPr>
                <w:p w14:paraId="3B66225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4A545CE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w:t>
                  </w:r>
                </w:p>
              </w:tc>
            </w:tr>
            <w:tr w14:paraId="4CAD9A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4B68B36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14</w:t>
                  </w:r>
                </w:p>
              </w:tc>
              <w:tc>
                <w:tcPr>
                  <w:tcW w:w="1311" w:type="dxa"/>
                  <w:vMerge w:val="restart"/>
                  <w:noWrap w:val="0"/>
                  <w:vAlign w:val="center"/>
                </w:tcPr>
                <w:p w14:paraId="2618657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粉料筒仓</w:t>
                  </w:r>
                </w:p>
              </w:tc>
              <w:tc>
                <w:tcPr>
                  <w:tcW w:w="1573" w:type="dxa"/>
                  <w:noWrap w:val="0"/>
                  <w:vAlign w:val="center"/>
                </w:tcPr>
                <w:p w14:paraId="7E1FBD6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水泥筒仓</w:t>
                  </w:r>
                </w:p>
              </w:tc>
              <w:tc>
                <w:tcPr>
                  <w:tcW w:w="1851" w:type="dxa"/>
                  <w:noWrap w:val="0"/>
                  <w:vAlign w:val="center"/>
                </w:tcPr>
                <w:p w14:paraId="03CECC0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100T</w:t>
                  </w:r>
                </w:p>
              </w:tc>
              <w:tc>
                <w:tcPr>
                  <w:tcW w:w="611" w:type="dxa"/>
                  <w:noWrap w:val="0"/>
                  <w:vAlign w:val="center"/>
                </w:tcPr>
                <w:p w14:paraId="4B53CD9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72AD166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c>
                <w:tcPr>
                  <w:tcW w:w="735" w:type="dxa"/>
                  <w:vMerge w:val="restart"/>
                  <w:noWrap w:val="0"/>
                  <w:vAlign w:val="center"/>
                </w:tcPr>
                <w:p w14:paraId="159F92B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9BFF7D6">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w:t>
                  </w:r>
                </w:p>
              </w:tc>
            </w:tr>
            <w:tr w14:paraId="5A4B8A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54" w:hRule="atLeast"/>
                <w:jc w:val="center"/>
              </w:trPr>
              <w:tc>
                <w:tcPr>
                  <w:tcW w:w="602" w:type="dxa"/>
                  <w:vMerge w:val="continue"/>
                  <w:noWrap w:val="0"/>
                  <w:vAlign w:val="center"/>
                </w:tcPr>
                <w:p w14:paraId="00E0D92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48A3E2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FF59C1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掺和料筒仓</w:t>
                  </w:r>
                </w:p>
                <w:p w14:paraId="50E7B6D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（粉煤灰）</w:t>
                  </w:r>
                </w:p>
              </w:tc>
              <w:tc>
                <w:tcPr>
                  <w:tcW w:w="1851" w:type="dxa"/>
                  <w:noWrap w:val="0"/>
                  <w:vAlign w:val="center"/>
                </w:tcPr>
                <w:p w14:paraId="2843C72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100T</w:t>
                  </w:r>
                </w:p>
              </w:tc>
              <w:tc>
                <w:tcPr>
                  <w:tcW w:w="611" w:type="dxa"/>
                  <w:noWrap w:val="0"/>
                  <w:vAlign w:val="center"/>
                </w:tcPr>
                <w:p w14:paraId="17E53E6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7D72D7F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26D1C3C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916E0F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1D673B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799D26C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15</w:t>
                  </w:r>
                </w:p>
              </w:tc>
              <w:tc>
                <w:tcPr>
                  <w:tcW w:w="1311" w:type="dxa"/>
                  <w:vMerge w:val="restart"/>
                  <w:noWrap w:val="0"/>
                  <w:vAlign w:val="center"/>
                </w:tcPr>
                <w:p w14:paraId="4B97E4F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车辆</w:t>
                  </w:r>
                </w:p>
              </w:tc>
              <w:tc>
                <w:tcPr>
                  <w:tcW w:w="1573" w:type="dxa"/>
                  <w:noWrap w:val="0"/>
                  <w:vAlign w:val="center"/>
                </w:tcPr>
                <w:p w14:paraId="50C590BC">
                  <w:pPr>
                    <w:autoSpaceDE w:val="0"/>
                    <w:autoSpaceDN w:val="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铲车</w:t>
                  </w:r>
                </w:p>
              </w:tc>
              <w:tc>
                <w:tcPr>
                  <w:tcW w:w="1851" w:type="dxa"/>
                  <w:noWrap w:val="0"/>
                  <w:vAlign w:val="center"/>
                </w:tcPr>
                <w:p w14:paraId="0A9B5C24">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3B3D061">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辆</w:t>
                  </w:r>
                </w:p>
              </w:tc>
              <w:tc>
                <w:tcPr>
                  <w:tcW w:w="623" w:type="dxa"/>
                  <w:noWrap w:val="0"/>
                  <w:vAlign w:val="center"/>
                </w:tcPr>
                <w:p w14:paraId="7DC77A49">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1D748C52">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434BE97">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0D8547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790EBF9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311" w:type="dxa"/>
                  <w:vMerge w:val="continue"/>
                  <w:noWrap w:val="0"/>
                  <w:vAlign w:val="center"/>
                </w:tcPr>
                <w:p w14:paraId="0F2B593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1F944A98">
                  <w:pPr>
                    <w:autoSpaceDE w:val="0"/>
                    <w:autoSpaceDN w:val="0"/>
                    <w:jc w:val="center"/>
                    <w:rPr>
                      <w:rFonts w:hint="default" w:ascii="Times New Roman" w:hAnsi="Times New Roman" w:eastAsia="宋体" w:cs="Times New Roman"/>
                      <w:color w:val="000000" w:themeColor="text1"/>
                      <w:kern w:val="2"/>
                      <w:sz w:val="21"/>
                      <w:szCs w:val="21"/>
                      <w:highlight w:val="none"/>
                      <w:lang w:val="en-GB"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t>混凝土运输车</w:t>
                  </w:r>
                </w:p>
              </w:tc>
              <w:tc>
                <w:tcPr>
                  <w:tcW w:w="1851" w:type="dxa"/>
                  <w:noWrap w:val="0"/>
                  <w:vAlign w:val="center"/>
                </w:tcPr>
                <w:p w14:paraId="440A3E58">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0382EC3B">
                  <w:pPr>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辆</w:t>
                  </w:r>
                </w:p>
              </w:tc>
              <w:tc>
                <w:tcPr>
                  <w:tcW w:w="623" w:type="dxa"/>
                  <w:noWrap w:val="0"/>
                  <w:vAlign w:val="center"/>
                </w:tcPr>
                <w:p w14:paraId="26CC8916">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10</w:t>
                  </w:r>
                </w:p>
              </w:tc>
              <w:tc>
                <w:tcPr>
                  <w:tcW w:w="735" w:type="dxa"/>
                  <w:noWrap w:val="0"/>
                  <w:vAlign w:val="center"/>
                </w:tcPr>
                <w:p w14:paraId="457EAC92">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2674BCFE">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10</w:t>
                  </w:r>
                </w:p>
              </w:tc>
            </w:tr>
            <w:tr w14:paraId="62A1E1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87" w:hRule="atLeast"/>
                <w:jc w:val="center"/>
              </w:trPr>
              <w:tc>
                <w:tcPr>
                  <w:tcW w:w="602" w:type="dxa"/>
                  <w:vMerge w:val="continue"/>
                  <w:noWrap w:val="0"/>
                  <w:vAlign w:val="center"/>
                </w:tcPr>
                <w:p w14:paraId="1AA9451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8AA783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02671FA">
                  <w:pPr>
                    <w:autoSpaceDE w:val="0"/>
                    <w:autoSpaceDN w:val="0"/>
                    <w:jc w:val="center"/>
                    <w:rPr>
                      <w:rFonts w:hint="default" w:ascii="Times New Roman" w:hAnsi="Times New Roman" w:eastAsia="宋体" w:cs="Times New Roman"/>
                      <w:color w:val="000000" w:themeColor="text1"/>
                      <w:sz w:val="21"/>
                      <w:szCs w:val="21"/>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GB" w:eastAsia="zh-CN"/>
                      <w14:textFill>
                        <w14:solidFill>
                          <w14:schemeClr w14:val="tx1"/>
                        </w14:solidFill>
                      </w14:textFill>
                    </w:rPr>
                    <w:t>洒水车</w:t>
                  </w:r>
                </w:p>
              </w:tc>
              <w:tc>
                <w:tcPr>
                  <w:tcW w:w="1851" w:type="dxa"/>
                  <w:noWrap w:val="0"/>
                  <w:vAlign w:val="center"/>
                </w:tcPr>
                <w:p w14:paraId="42380D08">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1A06B6D2">
                  <w:pPr>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辆</w:t>
                  </w:r>
                </w:p>
              </w:tc>
              <w:tc>
                <w:tcPr>
                  <w:tcW w:w="623" w:type="dxa"/>
                  <w:noWrap w:val="0"/>
                  <w:vAlign w:val="center"/>
                </w:tcPr>
                <w:p w14:paraId="3CE9F993">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w:t>
                  </w:r>
                </w:p>
              </w:tc>
              <w:tc>
                <w:tcPr>
                  <w:tcW w:w="735" w:type="dxa"/>
                  <w:noWrap w:val="0"/>
                  <w:vAlign w:val="center"/>
                </w:tcPr>
                <w:p w14:paraId="2C303573">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48CE70D0">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w:t>
                  </w:r>
                </w:p>
              </w:tc>
            </w:tr>
            <w:tr w14:paraId="1EC503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581437D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16</w:t>
                  </w:r>
                </w:p>
              </w:tc>
              <w:tc>
                <w:tcPr>
                  <w:tcW w:w="2884" w:type="dxa"/>
                  <w:gridSpan w:val="2"/>
                  <w:noWrap w:val="0"/>
                  <w:vAlign w:val="center"/>
                </w:tcPr>
                <w:p w14:paraId="5F4F5330">
                  <w:pPr>
                    <w:autoSpaceDE w:val="0"/>
                    <w:autoSpaceDN w:val="0"/>
                    <w:jc w:val="cente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t>砂石分离机</w:t>
                  </w:r>
                </w:p>
              </w:tc>
              <w:tc>
                <w:tcPr>
                  <w:tcW w:w="1851" w:type="dxa"/>
                  <w:noWrap w:val="0"/>
                  <w:vAlign w:val="center"/>
                </w:tcPr>
                <w:p w14:paraId="10EF53AC">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6B77A82">
                  <w:pPr>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07970BD6">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EFE1F96">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2DD011A">
                  <w:pPr>
                    <w:autoSpaceDE w:val="0"/>
                    <w:autoSpaceDN w:val="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18016E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33E4F23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17</w:t>
                  </w:r>
                </w:p>
              </w:tc>
              <w:tc>
                <w:tcPr>
                  <w:tcW w:w="2884" w:type="dxa"/>
                  <w:gridSpan w:val="2"/>
                  <w:noWrap w:val="0"/>
                  <w:vAlign w:val="center"/>
                </w:tcPr>
                <w:p w14:paraId="07609880">
                  <w:pPr>
                    <w:autoSpaceDE w:val="0"/>
                    <w:autoSpaceDN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压滤机</w:t>
                  </w:r>
                </w:p>
              </w:tc>
              <w:tc>
                <w:tcPr>
                  <w:tcW w:w="1851" w:type="dxa"/>
                  <w:noWrap w:val="0"/>
                  <w:vAlign w:val="center"/>
                </w:tcPr>
                <w:p w14:paraId="000AC173">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611" w:type="dxa"/>
                  <w:noWrap w:val="0"/>
                  <w:vAlign w:val="center"/>
                </w:tcPr>
                <w:p w14:paraId="17D8782D">
                  <w:pPr>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30C698EF">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FFCAC1C">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609FB8FF">
                  <w:pPr>
                    <w:autoSpaceDE w:val="0"/>
                    <w:autoSpaceDN w:val="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289E8C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7F7D0D6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18</w:t>
                  </w:r>
                </w:p>
              </w:tc>
              <w:tc>
                <w:tcPr>
                  <w:tcW w:w="2884" w:type="dxa"/>
                  <w:gridSpan w:val="2"/>
                  <w:noWrap w:val="0"/>
                  <w:vAlign w:val="center"/>
                </w:tcPr>
                <w:p w14:paraId="44E387AC">
                  <w:pPr>
                    <w:autoSpaceDE w:val="0"/>
                    <w:autoSpaceDN w:val="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变压器</w:t>
                  </w:r>
                </w:p>
              </w:tc>
              <w:tc>
                <w:tcPr>
                  <w:tcW w:w="1851" w:type="dxa"/>
                  <w:noWrap w:val="0"/>
                  <w:vAlign w:val="center"/>
                </w:tcPr>
                <w:p w14:paraId="131540F7">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2697C865">
                  <w:pPr>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271497A4">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A52710F">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4EF024A3">
                  <w:pPr>
                    <w:autoSpaceDE w:val="0"/>
                    <w:autoSpaceDN w:val="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bl>
          <w:p w14:paraId="071E7FF9">
            <w:pPr>
              <w:keepNext w:val="0"/>
              <w:keepLines w:val="0"/>
              <w:pageBreakBefore w:val="0"/>
              <w:widowControl w:val="0"/>
              <w:tabs>
                <w:tab w:val="center" w:pos="4648"/>
              </w:tabs>
              <w:kinsoku/>
              <w:wordWrap/>
              <w:overflowPunct/>
              <w:topLinePunct w:val="0"/>
              <w:autoSpaceDE/>
              <w:autoSpaceDN/>
              <w:bidi w:val="0"/>
              <w:adjustRightInd w:val="0"/>
              <w:snapToGrid w:val="0"/>
              <w:spacing w:before="157" w:beforeLines="50"/>
              <w:ind w:right="0" w:firstLine="0" w:firstLineChars="0"/>
              <w:jc w:val="center"/>
              <w:textAlignment w:val="auto"/>
              <w:rPr>
                <w:rFonts w:hint="eastAsia" w:ascii="Times New Roman" w:hAnsi="Times New Roman" w:eastAsia="宋体" w:cs="Times New Roman"/>
                <w:b/>
                <w:bCs/>
                <w:color w:val="000000" w:themeColor="text1"/>
                <w:sz w:val="32"/>
                <w:szCs w:val="32"/>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2-</w:t>
            </w:r>
            <w:r>
              <w:rPr>
                <w:rFonts w:hint="eastAsia"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8</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项目</w:t>
            </w: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钢筋构件生产</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主要设施设备</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46"/>
              <w:gridCol w:w="2973"/>
              <w:gridCol w:w="2197"/>
              <w:gridCol w:w="2025"/>
            </w:tblGrid>
            <w:tr w14:paraId="7A4917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6FD24C5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序</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2973" w:type="dxa"/>
                  <w:tcBorders>
                    <w:tl2br w:val="nil"/>
                    <w:tr2bl w:val="nil"/>
                  </w:tcBorders>
                  <w:noWrap w:val="0"/>
                  <w:vAlign w:val="center"/>
                </w:tcPr>
                <w:p w14:paraId="2310C64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设</w:t>
                  </w:r>
                  <w:r>
                    <w:rPr>
                      <w:rFonts w:hint="default" w:ascii="Times New Roman" w:hAnsi="Times New Roman" w:eastAsia="宋体" w:cs="Times New Roman"/>
                      <w:b/>
                      <w:bCs/>
                      <w:color w:val="000000" w:themeColor="text1"/>
                      <w:spacing w:val="2"/>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名</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称</w:t>
                  </w:r>
                </w:p>
              </w:tc>
              <w:tc>
                <w:tcPr>
                  <w:tcW w:w="2197" w:type="dxa"/>
                  <w:tcBorders>
                    <w:tl2br w:val="nil"/>
                    <w:tr2bl w:val="nil"/>
                  </w:tcBorders>
                  <w:noWrap w:val="0"/>
                  <w:vAlign w:val="center"/>
                </w:tcPr>
                <w:p w14:paraId="50AE270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型</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2025" w:type="dxa"/>
                  <w:tcBorders>
                    <w:tl2br w:val="nil"/>
                    <w:tr2bl w:val="nil"/>
                  </w:tcBorders>
                  <w:noWrap w:val="0"/>
                  <w:vAlign w:val="center"/>
                </w:tcPr>
                <w:p w14:paraId="57EFD85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数</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量</w:t>
                  </w:r>
                </w:p>
              </w:tc>
            </w:tr>
            <w:tr w14:paraId="28A8B9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641151A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2973" w:type="dxa"/>
                  <w:tcBorders>
                    <w:tl2br w:val="nil"/>
                    <w:tr2bl w:val="nil"/>
                  </w:tcBorders>
                  <w:noWrap w:val="0"/>
                  <w:vAlign w:val="center"/>
                </w:tcPr>
                <w:p w14:paraId="5131F48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钢</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筋</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数</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控</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弯</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曲</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中心</w:t>
                  </w:r>
                </w:p>
              </w:tc>
              <w:tc>
                <w:tcPr>
                  <w:tcW w:w="2197" w:type="dxa"/>
                  <w:tcBorders>
                    <w:tl2br w:val="nil"/>
                    <w:tr2bl w:val="nil"/>
                  </w:tcBorders>
                  <w:noWrap w:val="0"/>
                  <w:vAlign w:val="center"/>
                </w:tcPr>
                <w:p w14:paraId="1D04B97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KZ2L32</w:t>
                  </w:r>
                </w:p>
              </w:tc>
              <w:tc>
                <w:tcPr>
                  <w:tcW w:w="2025" w:type="dxa"/>
                  <w:tcBorders>
                    <w:tl2br w:val="nil"/>
                    <w:tr2bl w:val="nil"/>
                  </w:tcBorders>
                  <w:noWrap w:val="0"/>
                  <w:vAlign w:val="center"/>
                </w:tcPr>
                <w:p w14:paraId="243692C1">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r>
            <w:tr w14:paraId="2E2785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298D710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2973" w:type="dxa"/>
                  <w:tcBorders>
                    <w:tl2br w:val="nil"/>
                    <w:tr2bl w:val="nil"/>
                  </w:tcBorders>
                  <w:noWrap w:val="0"/>
                  <w:vAlign w:val="center"/>
                </w:tcPr>
                <w:p w14:paraId="709803D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钢</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筋</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断</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筋</w:t>
                  </w:r>
                  <w:r>
                    <w:rPr>
                      <w:rFonts w:hint="default" w:ascii="Times New Roman" w:hAnsi="Times New Roman" w:eastAsia="宋体" w:cs="Times New Roman"/>
                      <w:color w:val="000000" w:themeColor="text1"/>
                      <w:sz w:val="21"/>
                      <w:szCs w:val="21"/>
                      <w:highlight w:val="none"/>
                      <w14:textFill>
                        <w14:solidFill>
                          <w14:schemeClr w14:val="tx1"/>
                        </w14:solidFill>
                      </w14:textFill>
                    </w:rPr>
                    <w:t>机</w:t>
                  </w:r>
                </w:p>
              </w:tc>
              <w:tc>
                <w:tcPr>
                  <w:tcW w:w="2197" w:type="dxa"/>
                  <w:tcBorders>
                    <w:tl2br w:val="nil"/>
                    <w:tr2bl w:val="nil"/>
                  </w:tcBorders>
                  <w:noWrap w:val="0"/>
                  <w:vAlign w:val="center"/>
                </w:tcPr>
                <w:p w14:paraId="7BDA180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GQ0</w:t>
                  </w:r>
                </w:p>
              </w:tc>
              <w:tc>
                <w:tcPr>
                  <w:tcW w:w="2025" w:type="dxa"/>
                  <w:tcBorders>
                    <w:tl2br w:val="nil"/>
                    <w:tr2bl w:val="nil"/>
                  </w:tcBorders>
                  <w:noWrap w:val="0"/>
                  <w:vAlign w:val="center"/>
                </w:tcPr>
                <w:p w14:paraId="7DD9BD9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r>
            <w:tr w14:paraId="2E467C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4DC7408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3</w:t>
                  </w:r>
                </w:p>
              </w:tc>
              <w:tc>
                <w:tcPr>
                  <w:tcW w:w="2973" w:type="dxa"/>
                  <w:tcBorders>
                    <w:tl2br w:val="nil"/>
                    <w:tr2bl w:val="nil"/>
                  </w:tcBorders>
                  <w:noWrap w:val="0"/>
                  <w:vAlign w:val="center"/>
                </w:tcPr>
                <w:p w14:paraId="222FC05E">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钢</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筋</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镦</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粗</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车</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丝</w:t>
                  </w:r>
                  <w:r>
                    <w:rPr>
                      <w:rFonts w:hint="default" w:ascii="Times New Roman" w:hAnsi="Times New Roman" w:eastAsia="宋体" w:cs="Times New Roman"/>
                      <w:color w:val="000000" w:themeColor="text1"/>
                      <w:sz w:val="21"/>
                      <w:szCs w:val="21"/>
                      <w:highlight w:val="none"/>
                      <w14:textFill>
                        <w14:solidFill>
                          <w14:schemeClr w14:val="tx1"/>
                        </w14:solidFill>
                      </w14:textFill>
                    </w:rPr>
                    <w:t>机</w:t>
                  </w:r>
                </w:p>
              </w:tc>
              <w:tc>
                <w:tcPr>
                  <w:tcW w:w="2197" w:type="dxa"/>
                  <w:tcBorders>
                    <w:tl2br w:val="nil"/>
                    <w:tr2bl w:val="nil"/>
                  </w:tcBorders>
                  <w:noWrap w:val="0"/>
                  <w:vAlign w:val="center"/>
                </w:tcPr>
                <w:p w14:paraId="74A59B4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HG</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S</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40</w:t>
                  </w:r>
                  <w:r>
                    <w:rPr>
                      <w:rFonts w:hint="default" w:ascii="Times New Roman" w:hAnsi="Times New Roman" w:eastAsia="宋体" w:cs="Times New Roman"/>
                      <w:color w:val="000000" w:themeColor="text1"/>
                      <w:sz w:val="21"/>
                      <w:szCs w:val="21"/>
                      <w:highlight w:val="none"/>
                      <w14:textFill>
                        <w14:solidFill>
                          <w14:schemeClr w14:val="tx1"/>
                        </w14:solidFill>
                      </w14:textFill>
                    </w:rPr>
                    <w:t>B</w:t>
                  </w:r>
                </w:p>
              </w:tc>
              <w:tc>
                <w:tcPr>
                  <w:tcW w:w="2025" w:type="dxa"/>
                  <w:tcBorders>
                    <w:tl2br w:val="nil"/>
                    <w:tr2bl w:val="nil"/>
                  </w:tcBorders>
                  <w:noWrap w:val="0"/>
                  <w:vAlign w:val="center"/>
                </w:tcPr>
                <w:p w14:paraId="287E9A9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r>
            <w:tr w14:paraId="726150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03BBB8B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2973" w:type="dxa"/>
                  <w:tcBorders>
                    <w:tl2br w:val="nil"/>
                    <w:tr2bl w:val="nil"/>
                  </w:tcBorders>
                  <w:noWrap w:val="0"/>
                  <w:vAlign w:val="center"/>
                </w:tcPr>
                <w:p w14:paraId="743862E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交</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流</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电</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焊</w:t>
                  </w:r>
                  <w:r>
                    <w:rPr>
                      <w:rFonts w:hint="default" w:ascii="Times New Roman" w:hAnsi="Times New Roman" w:eastAsia="宋体" w:cs="Times New Roman"/>
                      <w:color w:val="000000" w:themeColor="text1"/>
                      <w:sz w:val="21"/>
                      <w:szCs w:val="21"/>
                      <w:highlight w:val="none"/>
                      <w14:textFill>
                        <w14:solidFill>
                          <w14:schemeClr w14:val="tx1"/>
                        </w14:solidFill>
                      </w14:textFill>
                    </w:rPr>
                    <w:t>机</w:t>
                  </w:r>
                </w:p>
              </w:tc>
              <w:tc>
                <w:tcPr>
                  <w:tcW w:w="2197" w:type="dxa"/>
                  <w:tcBorders>
                    <w:tl2br w:val="nil"/>
                    <w:tr2bl w:val="nil"/>
                  </w:tcBorders>
                  <w:noWrap w:val="0"/>
                  <w:vAlign w:val="center"/>
                </w:tcPr>
                <w:p w14:paraId="0596083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BX</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25</w:t>
                  </w:r>
                  <w:r>
                    <w:rPr>
                      <w:rFonts w:hint="default" w:ascii="Times New Roman" w:hAnsi="Times New Roman" w:eastAsia="宋体" w:cs="Times New Roman"/>
                      <w:color w:val="000000" w:themeColor="text1"/>
                      <w:sz w:val="21"/>
                      <w:szCs w:val="21"/>
                      <w:highlight w:val="none"/>
                      <w14:textFill>
                        <w14:solidFill>
                          <w14:schemeClr w14:val="tx1"/>
                        </w14:solidFill>
                      </w14:textFill>
                    </w:rPr>
                    <w:t>0</w:t>
                  </w:r>
                </w:p>
              </w:tc>
              <w:tc>
                <w:tcPr>
                  <w:tcW w:w="2025" w:type="dxa"/>
                  <w:tcBorders>
                    <w:tl2br w:val="nil"/>
                    <w:tr2bl w:val="nil"/>
                  </w:tcBorders>
                  <w:noWrap w:val="0"/>
                  <w:vAlign w:val="center"/>
                </w:tcPr>
                <w:p w14:paraId="564C060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w:t>
                  </w:r>
                </w:p>
              </w:tc>
            </w:tr>
            <w:tr w14:paraId="5BEE16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7AFE985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5</w:t>
                  </w:r>
                </w:p>
              </w:tc>
              <w:tc>
                <w:tcPr>
                  <w:tcW w:w="2973" w:type="dxa"/>
                  <w:tcBorders>
                    <w:tl2br w:val="nil"/>
                    <w:tr2bl w:val="nil"/>
                  </w:tcBorders>
                  <w:noWrap w:val="0"/>
                  <w:vAlign w:val="center"/>
                </w:tcPr>
                <w:p w14:paraId="639AADB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普</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通</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钢</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筋</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弯</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曲</w:t>
                  </w:r>
                  <w:r>
                    <w:rPr>
                      <w:rFonts w:hint="default" w:ascii="Times New Roman" w:hAnsi="Times New Roman" w:eastAsia="宋体" w:cs="Times New Roman"/>
                      <w:color w:val="000000" w:themeColor="text1"/>
                      <w:sz w:val="21"/>
                      <w:szCs w:val="21"/>
                      <w:highlight w:val="none"/>
                      <w14:textFill>
                        <w14:solidFill>
                          <w14:schemeClr w14:val="tx1"/>
                        </w14:solidFill>
                      </w14:textFill>
                    </w:rPr>
                    <w:t>机</w:t>
                  </w:r>
                </w:p>
              </w:tc>
              <w:tc>
                <w:tcPr>
                  <w:tcW w:w="2197" w:type="dxa"/>
                  <w:tcBorders>
                    <w:tl2br w:val="nil"/>
                    <w:tr2bl w:val="nil"/>
                  </w:tcBorders>
                  <w:noWrap w:val="0"/>
                  <w:vAlign w:val="center"/>
                </w:tcPr>
                <w:p w14:paraId="6C51BE3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G</w:t>
                  </w:r>
                  <w:r>
                    <w:rPr>
                      <w:rFonts w:hint="default" w:ascii="Times New Roman" w:hAnsi="Times New Roman" w:eastAsia="宋体" w:cs="Times New Roman"/>
                      <w:color w:val="000000" w:themeColor="text1"/>
                      <w:spacing w:val="-9"/>
                      <w:sz w:val="21"/>
                      <w:szCs w:val="21"/>
                      <w:highlight w:val="none"/>
                      <w14:textFill>
                        <w14:solidFill>
                          <w14:schemeClr w14:val="tx1"/>
                        </w14:solidFill>
                      </w14:textFill>
                    </w:rPr>
                    <w:t>W</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4</w:t>
                  </w:r>
                  <w:r>
                    <w:rPr>
                      <w:rFonts w:hint="default" w:ascii="Times New Roman" w:hAnsi="Times New Roman" w:eastAsia="宋体" w:cs="Times New Roman"/>
                      <w:color w:val="000000" w:themeColor="text1"/>
                      <w:sz w:val="21"/>
                      <w:szCs w:val="21"/>
                      <w:highlight w:val="none"/>
                      <w14:textFill>
                        <w14:solidFill>
                          <w14:schemeClr w14:val="tx1"/>
                        </w14:solidFill>
                      </w14:textFill>
                    </w:rPr>
                    <w:t>0</w:t>
                  </w:r>
                </w:p>
              </w:tc>
              <w:tc>
                <w:tcPr>
                  <w:tcW w:w="2025" w:type="dxa"/>
                  <w:tcBorders>
                    <w:tl2br w:val="nil"/>
                    <w:tr2bl w:val="nil"/>
                  </w:tcBorders>
                  <w:noWrap w:val="0"/>
                  <w:vAlign w:val="center"/>
                </w:tcPr>
                <w:p w14:paraId="5AA46A1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r>
            <w:tr w14:paraId="761089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07540FE1">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6</w:t>
                  </w:r>
                </w:p>
              </w:tc>
              <w:tc>
                <w:tcPr>
                  <w:tcW w:w="2973" w:type="dxa"/>
                  <w:tcBorders>
                    <w:tl2br w:val="nil"/>
                    <w:tr2bl w:val="nil"/>
                  </w:tcBorders>
                  <w:noWrap w:val="0"/>
                  <w:vAlign w:val="center"/>
                </w:tcPr>
                <w:p w14:paraId="7B2C8AE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门</w:t>
                  </w:r>
                  <w:r>
                    <w:rPr>
                      <w:rFonts w:hint="default" w:ascii="Times New Roman" w:hAnsi="Times New Roman" w:eastAsia="宋体" w:cs="Times New Roman"/>
                      <w:color w:val="000000" w:themeColor="text1"/>
                      <w:sz w:val="21"/>
                      <w:szCs w:val="21"/>
                      <w:highlight w:val="none"/>
                      <w14:textFill>
                        <w14:solidFill>
                          <w14:schemeClr w14:val="tx1"/>
                        </w14:solidFill>
                      </w14:textFill>
                    </w:rPr>
                    <w:t>吊</w:t>
                  </w:r>
                </w:p>
              </w:tc>
              <w:tc>
                <w:tcPr>
                  <w:tcW w:w="2197" w:type="dxa"/>
                  <w:tcBorders>
                    <w:tl2br w:val="nil"/>
                    <w:tr2bl w:val="nil"/>
                  </w:tcBorders>
                  <w:noWrap w:val="0"/>
                  <w:vAlign w:val="center"/>
                </w:tcPr>
                <w:p w14:paraId="1AC7293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14:textFill>
                        <w14:solidFill>
                          <w14:schemeClr w14:val="tx1"/>
                        </w14:solidFill>
                      </w14:textFill>
                    </w:rPr>
                    <w:t>T</w:t>
                  </w:r>
                </w:p>
              </w:tc>
              <w:tc>
                <w:tcPr>
                  <w:tcW w:w="2025" w:type="dxa"/>
                  <w:tcBorders>
                    <w:tl2br w:val="nil"/>
                    <w:tr2bl w:val="nil"/>
                  </w:tcBorders>
                  <w:noWrap w:val="0"/>
                  <w:vAlign w:val="center"/>
                </w:tcPr>
                <w:p w14:paraId="1F0BB60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r>
            <w:tr w14:paraId="590005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46" w:type="dxa"/>
                  <w:tcBorders>
                    <w:tl2br w:val="nil"/>
                    <w:tr2bl w:val="nil"/>
                  </w:tcBorders>
                  <w:noWrap w:val="0"/>
                  <w:vAlign w:val="center"/>
                </w:tcPr>
                <w:p w14:paraId="601C814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p>
              </w:tc>
              <w:tc>
                <w:tcPr>
                  <w:tcW w:w="2973" w:type="dxa"/>
                  <w:tcBorders>
                    <w:tl2br w:val="nil"/>
                    <w:tr2bl w:val="nil"/>
                  </w:tcBorders>
                  <w:noWrap w:val="0"/>
                  <w:vAlign w:val="center"/>
                </w:tcPr>
                <w:p w14:paraId="1E73E8B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钢</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筋</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笼</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滚</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焊</w:t>
                  </w:r>
                  <w:r>
                    <w:rPr>
                      <w:rFonts w:hint="default" w:ascii="Times New Roman" w:hAnsi="Times New Roman" w:eastAsia="宋体" w:cs="Times New Roman"/>
                      <w:color w:val="000000" w:themeColor="text1"/>
                      <w:sz w:val="21"/>
                      <w:szCs w:val="21"/>
                      <w:highlight w:val="none"/>
                      <w14:textFill>
                        <w14:solidFill>
                          <w14:schemeClr w14:val="tx1"/>
                        </w14:solidFill>
                      </w14:textFill>
                    </w:rPr>
                    <w:t>机</w:t>
                  </w:r>
                </w:p>
              </w:tc>
              <w:tc>
                <w:tcPr>
                  <w:tcW w:w="2197" w:type="dxa"/>
                  <w:tcBorders>
                    <w:tl2br w:val="nil"/>
                    <w:tr2bl w:val="nil"/>
                  </w:tcBorders>
                  <w:noWrap w:val="0"/>
                  <w:vAlign w:val="center"/>
                </w:tcPr>
                <w:p w14:paraId="144313A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H</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F</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200</w:t>
                  </w:r>
                  <w:r>
                    <w:rPr>
                      <w:rFonts w:hint="default" w:ascii="Times New Roman" w:hAnsi="Times New Roman" w:eastAsia="宋体" w:cs="Times New Roman"/>
                      <w:color w:val="000000" w:themeColor="text1"/>
                      <w:sz w:val="21"/>
                      <w:szCs w:val="21"/>
                      <w:highlight w:val="none"/>
                      <w14:textFill>
                        <w14:solidFill>
                          <w14:schemeClr w14:val="tx1"/>
                        </w14:solidFill>
                      </w14:textFill>
                    </w:rPr>
                    <w:t>0</w:t>
                  </w:r>
                </w:p>
              </w:tc>
              <w:tc>
                <w:tcPr>
                  <w:tcW w:w="2025" w:type="dxa"/>
                  <w:tcBorders>
                    <w:tl2br w:val="nil"/>
                    <w:tr2bl w:val="nil"/>
                  </w:tcBorders>
                  <w:noWrap w:val="0"/>
                  <w:vAlign w:val="center"/>
                </w:tcPr>
                <w:p w14:paraId="33E77D3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r>
          </w:tbl>
          <w:p w14:paraId="526A446E">
            <w:pPr>
              <w:keepNext w:val="0"/>
              <w:keepLines w:val="0"/>
              <w:pageBreakBefore w:val="0"/>
              <w:widowControl w:val="0"/>
              <w:tabs>
                <w:tab w:val="center" w:pos="4648"/>
              </w:tabs>
              <w:kinsoku/>
              <w:wordWrap/>
              <w:overflowPunct/>
              <w:topLinePunct w:val="0"/>
              <w:autoSpaceDE/>
              <w:autoSpaceDN/>
              <w:bidi w:val="0"/>
              <w:adjustRightInd w:val="0"/>
              <w:snapToGrid w:val="0"/>
              <w:spacing w:before="157" w:beforeLines="50"/>
              <w:ind w:right="0" w:firstLine="0" w:firstLineChars="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p>
          <w:p w14:paraId="4D5F4EA1">
            <w:pPr>
              <w:keepNext w:val="0"/>
              <w:keepLines w:val="0"/>
              <w:pageBreakBefore w:val="0"/>
              <w:widowControl w:val="0"/>
              <w:tabs>
                <w:tab w:val="center" w:pos="4648"/>
              </w:tabs>
              <w:kinsoku/>
              <w:wordWrap/>
              <w:overflowPunct/>
              <w:topLinePunct w:val="0"/>
              <w:autoSpaceDE/>
              <w:autoSpaceDN/>
              <w:bidi w:val="0"/>
              <w:adjustRightInd w:val="0"/>
              <w:snapToGrid w:val="0"/>
              <w:spacing w:before="157" w:beforeLines="50"/>
              <w:ind w:right="0" w:firstLine="0" w:firstLineChars="0"/>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2-</w:t>
            </w:r>
            <w:r>
              <w:rPr>
                <w:rFonts w:hint="eastAsia"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9</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项目</w:t>
            </w: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预制件生产</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主要设施设备</w:t>
            </w:r>
          </w:p>
          <w:tbl>
            <w:tblPr>
              <w:tblStyle w:val="20"/>
              <w:tblW w:w="805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5"/>
              <w:gridCol w:w="2795"/>
              <w:gridCol w:w="1850"/>
              <w:gridCol w:w="1428"/>
              <w:gridCol w:w="1270"/>
            </w:tblGrid>
            <w:tr w14:paraId="0FBA6A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56D2F16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序</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2795" w:type="dxa"/>
                  <w:tcBorders>
                    <w:tl2br w:val="nil"/>
                    <w:tr2bl w:val="nil"/>
                  </w:tcBorders>
                  <w:noWrap w:val="0"/>
                  <w:vAlign w:val="center"/>
                </w:tcPr>
                <w:p w14:paraId="0323845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设</w:t>
                  </w:r>
                  <w:r>
                    <w:rPr>
                      <w:rFonts w:hint="default" w:ascii="Times New Roman" w:hAnsi="Times New Roman" w:eastAsia="宋体" w:cs="Times New Roman"/>
                      <w:b/>
                      <w:bCs/>
                      <w:color w:val="000000" w:themeColor="text1"/>
                      <w:spacing w:val="2"/>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名</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称</w:t>
                  </w:r>
                </w:p>
              </w:tc>
              <w:tc>
                <w:tcPr>
                  <w:tcW w:w="1850" w:type="dxa"/>
                  <w:tcBorders>
                    <w:tl2br w:val="nil"/>
                    <w:tr2bl w:val="nil"/>
                  </w:tcBorders>
                  <w:noWrap w:val="0"/>
                  <w:vAlign w:val="center"/>
                </w:tcPr>
                <w:p w14:paraId="5A9D25E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型</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1428" w:type="dxa"/>
                  <w:tcBorders>
                    <w:tl2br w:val="nil"/>
                    <w:tr2bl w:val="nil"/>
                  </w:tcBorders>
                  <w:noWrap w:val="0"/>
                  <w:vAlign w:val="center"/>
                </w:tcPr>
                <w:p w14:paraId="7097096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数</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量</w:t>
                  </w:r>
                </w:p>
              </w:tc>
              <w:tc>
                <w:tcPr>
                  <w:tcW w:w="1270" w:type="dxa"/>
                  <w:tcBorders>
                    <w:tl2br w:val="nil"/>
                    <w:tr2bl w:val="nil"/>
                  </w:tcBorders>
                  <w:noWrap w:val="0"/>
                  <w:vAlign w:val="center"/>
                </w:tcPr>
                <w:p w14:paraId="09E6FA5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注</w:t>
                  </w:r>
                </w:p>
              </w:tc>
            </w:tr>
            <w:tr w14:paraId="53D538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0087130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2795" w:type="dxa"/>
                  <w:tcBorders>
                    <w:tl2br w:val="nil"/>
                    <w:tr2bl w:val="nil"/>
                  </w:tcBorders>
                  <w:noWrap w:val="0"/>
                  <w:vAlign w:val="center"/>
                </w:tcPr>
                <w:p w14:paraId="5D4959E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门吊</w:t>
                  </w:r>
                </w:p>
              </w:tc>
              <w:tc>
                <w:tcPr>
                  <w:tcW w:w="1850" w:type="dxa"/>
                  <w:tcBorders>
                    <w:tl2br w:val="nil"/>
                    <w:tr2bl w:val="nil"/>
                  </w:tcBorders>
                  <w:noWrap w:val="0"/>
                  <w:vAlign w:val="center"/>
                </w:tcPr>
                <w:p w14:paraId="5DED76F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100t</w:t>
                  </w:r>
                </w:p>
              </w:tc>
              <w:tc>
                <w:tcPr>
                  <w:tcW w:w="1428" w:type="dxa"/>
                  <w:tcBorders>
                    <w:tl2br w:val="nil"/>
                    <w:tr2bl w:val="nil"/>
                  </w:tcBorders>
                  <w:noWrap w:val="0"/>
                  <w:vAlign w:val="center"/>
                </w:tcPr>
                <w:p w14:paraId="0D87745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1270" w:type="dxa"/>
                  <w:tcBorders>
                    <w:tl2br w:val="nil"/>
                    <w:tr2bl w:val="nil"/>
                  </w:tcBorders>
                  <w:noWrap w:val="0"/>
                  <w:vAlign w:val="center"/>
                </w:tcPr>
                <w:p w14:paraId="619CAD16">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t梁</w:t>
                  </w:r>
                </w:p>
              </w:tc>
            </w:tr>
            <w:tr w14:paraId="746C13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48C202E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2795" w:type="dxa"/>
                  <w:tcBorders>
                    <w:tl2br w:val="nil"/>
                    <w:tr2bl w:val="nil"/>
                  </w:tcBorders>
                  <w:noWrap w:val="0"/>
                  <w:vAlign w:val="center"/>
                </w:tcPr>
                <w:p w14:paraId="07DA157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门吊</w:t>
                  </w:r>
                </w:p>
              </w:tc>
              <w:tc>
                <w:tcPr>
                  <w:tcW w:w="1850" w:type="dxa"/>
                  <w:tcBorders>
                    <w:tl2br w:val="nil"/>
                    <w:tr2bl w:val="nil"/>
                  </w:tcBorders>
                  <w:noWrap w:val="0"/>
                  <w:vAlign w:val="center"/>
                </w:tcPr>
                <w:p w14:paraId="0F2A949F">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10t</w:t>
                  </w:r>
                </w:p>
              </w:tc>
              <w:tc>
                <w:tcPr>
                  <w:tcW w:w="1428" w:type="dxa"/>
                  <w:tcBorders>
                    <w:tl2br w:val="nil"/>
                    <w:tr2bl w:val="nil"/>
                  </w:tcBorders>
                  <w:noWrap w:val="0"/>
                  <w:vAlign w:val="center"/>
                </w:tcPr>
                <w:p w14:paraId="06360E3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35CF53F3">
                  <w:pPr>
                    <w:keepNext w:val="0"/>
                    <w:keepLines w:val="0"/>
                    <w:pageBreakBefore w:val="0"/>
                    <w:widowControl w:val="0"/>
                    <w:wordWrap/>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473E8E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06CD25C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3</w:t>
                  </w:r>
                </w:p>
              </w:tc>
              <w:tc>
                <w:tcPr>
                  <w:tcW w:w="2795" w:type="dxa"/>
                  <w:tcBorders>
                    <w:tl2br w:val="nil"/>
                    <w:tr2bl w:val="nil"/>
                  </w:tcBorders>
                  <w:noWrap w:val="0"/>
                  <w:vAlign w:val="center"/>
                </w:tcPr>
                <w:p w14:paraId="39B83DB1">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智能张拉设备</w:t>
                  </w:r>
                </w:p>
              </w:tc>
              <w:tc>
                <w:tcPr>
                  <w:tcW w:w="1850" w:type="dxa"/>
                  <w:tcBorders>
                    <w:tl2br w:val="nil"/>
                    <w:tr2bl w:val="nil"/>
                  </w:tcBorders>
                  <w:noWrap w:val="0"/>
                  <w:vAlign w:val="center"/>
                </w:tcPr>
                <w:p w14:paraId="170FAED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ZNB智能张拉系统</w:t>
                  </w:r>
                </w:p>
              </w:tc>
              <w:tc>
                <w:tcPr>
                  <w:tcW w:w="1428" w:type="dxa"/>
                  <w:tcBorders>
                    <w:tl2br w:val="nil"/>
                    <w:tr2bl w:val="nil"/>
                  </w:tcBorders>
                  <w:noWrap w:val="0"/>
                  <w:vAlign w:val="center"/>
                </w:tcPr>
                <w:p w14:paraId="683A3DB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4BE997A2">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1960A6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1F614B3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2795" w:type="dxa"/>
                  <w:tcBorders>
                    <w:tl2br w:val="nil"/>
                    <w:tr2bl w:val="nil"/>
                  </w:tcBorders>
                  <w:noWrap w:val="0"/>
                  <w:vAlign w:val="center"/>
                </w:tcPr>
                <w:p w14:paraId="55EED3CE">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智能压浆设备</w:t>
                  </w:r>
                </w:p>
              </w:tc>
              <w:tc>
                <w:tcPr>
                  <w:tcW w:w="1850" w:type="dxa"/>
                  <w:tcBorders>
                    <w:tl2br w:val="nil"/>
                    <w:tr2bl w:val="nil"/>
                  </w:tcBorders>
                  <w:noWrap w:val="0"/>
                  <w:vAlign w:val="center"/>
                </w:tcPr>
                <w:p w14:paraId="0D9FE37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PCTS智能制浆系统</w:t>
                  </w:r>
                </w:p>
              </w:tc>
              <w:tc>
                <w:tcPr>
                  <w:tcW w:w="1428" w:type="dxa"/>
                  <w:tcBorders>
                    <w:tl2br w:val="nil"/>
                    <w:tr2bl w:val="nil"/>
                  </w:tcBorders>
                  <w:noWrap w:val="0"/>
                  <w:vAlign w:val="center"/>
                </w:tcPr>
                <w:p w14:paraId="7C81187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1BE2CCE0">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3E7F32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6F2116E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5</w:t>
                  </w:r>
                </w:p>
              </w:tc>
              <w:tc>
                <w:tcPr>
                  <w:tcW w:w="2795" w:type="dxa"/>
                  <w:tcBorders>
                    <w:tl2br w:val="nil"/>
                    <w:tr2bl w:val="nil"/>
                  </w:tcBorders>
                  <w:noWrap w:val="0"/>
                  <w:vAlign w:val="center"/>
                </w:tcPr>
                <w:p w14:paraId="0749BB2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自动喷淋养护系统</w:t>
                  </w:r>
                </w:p>
              </w:tc>
              <w:tc>
                <w:tcPr>
                  <w:tcW w:w="1850" w:type="dxa"/>
                  <w:tcBorders>
                    <w:tl2br w:val="nil"/>
                    <w:tr2bl w:val="nil"/>
                  </w:tcBorders>
                  <w:noWrap w:val="0"/>
                  <w:vAlign w:val="center"/>
                </w:tcPr>
                <w:p w14:paraId="6A697A1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428" w:type="dxa"/>
                  <w:tcBorders>
                    <w:tl2br w:val="nil"/>
                    <w:tr2bl w:val="nil"/>
                  </w:tcBorders>
                  <w:noWrap w:val="0"/>
                  <w:vAlign w:val="center"/>
                </w:tcPr>
                <w:p w14:paraId="20132D5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5F9D97BE">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0773BD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0933C70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6</w:t>
                  </w:r>
                </w:p>
              </w:tc>
              <w:tc>
                <w:tcPr>
                  <w:tcW w:w="2795" w:type="dxa"/>
                  <w:tcBorders>
                    <w:tl2br w:val="nil"/>
                    <w:tr2bl w:val="nil"/>
                  </w:tcBorders>
                  <w:noWrap w:val="0"/>
                  <w:vAlign w:val="center"/>
                </w:tcPr>
                <w:p w14:paraId="2A121D0E">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1850" w:type="dxa"/>
                  <w:tcBorders>
                    <w:tl2br w:val="nil"/>
                    <w:tr2bl w:val="nil"/>
                  </w:tcBorders>
                  <w:noWrap w:val="0"/>
                  <w:vAlign w:val="center"/>
                </w:tcPr>
                <w:p w14:paraId="449D7064">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xn-1898</w:t>
                  </w:r>
                </w:p>
              </w:tc>
              <w:tc>
                <w:tcPr>
                  <w:tcW w:w="1428" w:type="dxa"/>
                  <w:tcBorders>
                    <w:tl2br w:val="nil"/>
                    <w:tr2bl w:val="nil"/>
                  </w:tcBorders>
                  <w:noWrap w:val="0"/>
                  <w:vAlign w:val="center"/>
                </w:tcPr>
                <w:p w14:paraId="77EC95BB">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p>
              </w:tc>
              <w:tc>
                <w:tcPr>
                  <w:tcW w:w="1270" w:type="dxa"/>
                  <w:tcBorders>
                    <w:tl2br w:val="nil"/>
                    <w:tr2bl w:val="nil"/>
                  </w:tcBorders>
                  <w:noWrap w:val="0"/>
                  <w:vAlign w:val="center"/>
                </w:tcPr>
                <w:p w14:paraId="34570E5D">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2303DF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16ABFF98">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p>
              </w:tc>
              <w:tc>
                <w:tcPr>
                  <w:tcW w:w="2795" w:type="dxa"/>
                  <w:tcBorders>
                    <w:tl2br w:val="nil"/>
                    <w:tr2bl w:val="nil"/>
                  </w:tcBorders>
                  <w:noWrap w:val="0"/>
                  <w:vAlign w:val="center"/>
                </w:tcPr>
                <w:p w14:paraId="26D28001">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发电机</w:t>
                  </w:r>
                </w:p>
              </w:tc>
              <w:tc>
                <w:tcPr>
                  <w:tcW w:w="1850" w:type="dxa"/>
                  <w:tcBorders>
                    <w:tl2br w:val="nil"/>
                    <w:tr2bl w:val="nil"/>
                  </w:tcBorders>
                  <w:noWrap w:val="0"/>
                  <w:vAlign w:val="center"/>
                </w:tcPr>
                <w:p w14:paraId="4F8350A6">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400KW</w:t>
                  </w:r>
                </w:p>
              </w:tc>
              <w:tc>
                <w:tcPr>
                  <w:tcW w:w="1428" w:type="dxa"/>
                  <w:tcBorders>
                    <w:tl2br w:val="nil"/>
                    <w:tr2bl w:val="nil"/>
                  </w:tcBorders>
                  <w:noWrap w:val="0"/>
                  <w:vAlign w:val="center"/>
                </w:tcPr>
                <w:p w14:paraId="4FBC7E10">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020A3341">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55DFC8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598C2FE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w:t>
                  </w:r>
                </w:p>
              </w:tc>
              <w:tc>
                <w:tcPr>
                  <w:tcW w:w="2795" w:type="dxa"/>
                  <w:tcBorders>
                    <w:tl2br w:val="nil"/>
                    <w:tr2bl w:val="nil"/>
                  </w:tcBorders>
                  <w:noWrap w:val="0"/>
                  <w:vAlign w:val="center"/>
                </w:tcPr>
                <w:p w14:paraId="62011B19">
                  <w:pPr>
                    <w:spacing w:line="360" w:lineRule="exact"/>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瞄具</w:t>
                  </w:r>
                </w:p>
              </w:tc>
              <w:tc>
                <w:tcPr>
                  <w:tcW w:w="1850" w:type="dxa"/>
                  <w:tcBorders>
                    <w:tl2br w:val="nil"/>
                    <w:tr2bl w:val="nil"/>
                  </w:tcBorders>
                  <w:noWrap w:val="0"/>
                  <w:vAlign w:val="center"/>
                </w:tcPr>
                <w:p w14:paraId="0368721F">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M15-</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M15-</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M15-</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M15-</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M15-</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M15-</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c>
                <w:tcPr>
                  <w:tcW w:w="1428" w:type="dxa"/>
                  <w:tcBorders>
                    <w:tl2br w:val="nil"/>
                    <w:tr2bl w:val="nil"/>
                  </w:tcBorders>
                  <w:noWrap w:val="0"/>
                  <w:vAlign w:val="center"/>
                </w:tcPr>
                <w:p w14:paraId="7FFA64B0">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6793套</w:t>
                  </w:r>
                </w:p>
              </w:tc>
              <w:tc>
                <w:tcPr>
                  <w:tcW w:w="1270" w:type="dxa"/>
                  <w:tcBorders>
                    <w:tl2br w:val="nil"/>
                    <w:tr2bl w:val="nil"/>
                  </w:tcBorders>
                  <w:noWrap w:val="0"/>
                  <w:vAlign w:val="center"/>
                </w:tcPr>
                <w:p w14:paraId="0CA6CDBF">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195885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0A298DA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2795" w:type="dxa"/>
                  <w:tcBorders>
                    <w:tl2br w:val="nil"/>
                    <w:tr2bl w:val="nil"/>
                  </w:tcBorders>
                  <w:noWrap w:val="0"/>
                  <w:vAlign w:val="center"/>
                </w:tcPr>
                <w:p w14:paraId="4BD6C654">
                  <w:pPr>
                    <w:spacing w:line="360" w:lineRule="exact"/>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不锈钢模具</w:t>
                  </w:r>
                </w:p>
              </w:tc>
              <w:tc>
                <w:tcPr>
                  <w:tcW w:w="1850" w:type="dxa"/>
                  <w:tcBorders>
                    <w:tl2br w:val="nil"/>
                    <w:tr2bl w:val="nil"/>
                  </w:tcBorders>
                  <w:noWrap w:val="0"/>
                  <w:vAlign w:val="center"/>
                </w:tcPr>
                <w:p w14:paraId="34557A86">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不锈钢</w:t>
                  </w:r>
                </w:p>
              </w:tc>
              <w:tc>
                <w:tcPr>
                  <w:tcW w:w="1428" w:type="dxa"/>
                  <w:tcBorders>
                    <w:tl2br w:val="nil"/>
                    <w:tr2bl w:val="nil"/>
                  </w:tcBorders>
                  <w:noWrap w:val="0"/>
                  <w:vAlign w:val="center"/>
                </w:tcPr>
                <w:p w14:paraId="0795C6B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200套</w:t>
                  </w:r>
                </w:p>
              </w:tc>
              <w:tc>
                <w:tcPr>
                  <w:tcW w:w="1270" w:type="dxa"/>
                  <w:tcBorders>
                    <w:tl2br w:val="nil"/>
                    <w:tr2bl w:val="nil"/>
                  </w:tcBorders>
                  <w:noWrap w:val="0"/>
                  <w:vAlign w:val="center"/>
                </w:tcPr>
                <w:p w14:paraId="71260064">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bl>
          <w:p w14:paraId="682218E5">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根据《产业结构调整知道目录（2019年本）》、《部分工业行业淘汰落后工艺装备和产品指导目录（2010年本）》可知，项目所用设备均不属于国家禁止或命令淘汰的设备。</w:t>
            </w:r>
          </w:p>
          <w:p w14:paraId="31F2718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eastAsia="zh-CN"/>
                <w14:textFill>
                  <w14:solidFill>
                    <w14:schemeClr w14:val="tx1"/>
                  </w14:solidFill>
                </w14:textFill>
              </w:rPr>
              <w:t>六</w:t>
            </w:r>
            <w:r>
              <w:rPr>
                <w:rFonts w:ascii="Times New Roman" w:hAnsi="Times New Roman" w:eastAsia="宋体"/>
                <w:b/>
                <w:bCs/>
                <w:color w:val="000000" w:themeColor="text1"/>
                <w:sz w:val="24"/>
                <w:highlight w:val="none"/>
                <w14:textFill>
                  <w14:solidFill>
                    <w14:schemeClr w14:val="tx1"/>
                  </w14:solidFill>
                </w14:textFill>
              </w:rPr>
              <w:t>、主要原辅材料及能源消耗</w:t>
            </w:r>
          </w:p>
          <w:p w14:paraId="7C56B06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1、主要原辅材料及能耗情况</w:t>
            </w:r>
          </w:p>
          <w:p w14:paraId="17D1527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val="0"/>
                <w:bCs w:val="0"/>
                <w:color w:val="000000" w:themeColor="text1"/>
                <w:sz w:val="24"/>
                <w:highlight w:val="none"/>
                <w:lang w:eastAsia="zh-CN"/>
                <w14:textFill>
                  <w14:solidFill>
                    <w14:schemeClr w14:val="tx1"/>
                  </w14:solidFill>
                </w14:textFill>
              </w:rPr>
            </w:pPr>
            <w:r>
              <w:rPr>
                <w:rFonts w:hint="eastAsia" w:ascii="Times New Roman" w:hAnsi="Times New Roman" w:eastAsia="宋体"/>
                <w:b w:val="0"/>
                <w:bCs w:val="0"/>
                <w:color w:val="000000" w:themeColor="text1"/>
                <w:sz w:val="24"/>
                <w:highlight w:val="none"/>
                <w:lang w:eastAsia="zh-CN"/>
                <w14:textFill>
                  <w14:solidFill>
                    <w14:schemeClr w14:val="tx1"/>
                  </w14:solidFill>
                </w14:textFill>
              </w:rPr>
              <w:t>根据建设单位提供资料，本项目混凝土生产各标号生产配比如下：</w:t>
            </w:r>
          </w:p>
          <w:p w14:paraId="3024C4EB">
            <w:pPr>
              <w:keepNext w:val="0"/>
              <w:keepLines w:val="0"/>
              <w:pageBreakBefore w:val="0"/>
              <w:widowControl w:val="0"/>
              <w:kinsoku/>
              <w:wordWrap/>
              <w:overflowPunct/>
              <w:topLinePunct w:val="0"/>
              <w:autoSpaceDE/>
              <w:autoSpaceDN/>
              <w:bidi w:val="0"/>
              <w:adjustRightInd w:val="0"/>
              <w:snapToGrid w:val="0"/>
              <w:spacing w:line="240" w:lineRule="auto"/>
              <w:ind w:firstLine="422" w:firstLineChars="200"/>
              <w:jc w:val="center"/>
              <w:textAlignment w:val="auto"/>
              <w:rPr>
                <w:rFonts w:hint="eastAsia" w:ascii="Times New Roman" w:hAnsi="Times New Roman" w:eastAsia="宋体"/>
                <w:b/>
                <w:bCs/>
                <w:color w:val="000000" w:themeColor="text1"/>
                <w:sz w:val="24"/>
                <w:highlight w:val="none"/>
                <w:lang w:eastAsia="zh-CN"/>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10</w:t>
            </w:r>
            <w:r>
              <w:rPr>
                <w:rFonts w:ascii="Times New Roman" w:hAnsi="Times New Roman" w:eastAsia="宋体"/>
                <w:b/>
                <w:bCs/>
                <w:color w:val="000000" w:themeColor="text1"/>
                <w:kern w:val="0"/>
                <w:szCs w:val="21"/>
                <w:highlight w:val="none"/>
                <w14:textFill>
                  <w14:solidFill>
                    <w14:schemeClr w14:val="tx1"/>
                  </w14:solidFill>
                </w14:textFill>
              </w:rPr>
              <w:t xml:space="preserve">    </w:t>
            </w:r>
            <w:r>
              <w:rPr>
                <w:rFonts w:hint="eastAsia" w:ascii="Times New Roman" w:hAnsi="Times New Roman" w:eastAsia="宋体"/>
                <w:b/>
                <w:bCs/>
                <w:color w:val="000000" w:themeColor="text1"/>
                <w:kern w:val="0"/>
                <w:szCs w:val="21"/>
                <w:highlight w:val="none"/>
                <w:lang w:eastAsia="zh-CN"/>
                <w14:textFill>
                  <w14:solidFill>
                    <w14:schemeClr w14:val="tx1"/>
                  </w14:solidFill>
                </w14:textFill>
              </w:rPr>
              <w:t>混凝土各标号生产配比</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005"/>
              <w:gridCol w:w="1005"/>
              <w:gridCol w:w="1005"/>
              <w:gridCol w:w="1005"/>
              <w:gridCol w:w="1005"/>
              <w:gridCol w:w="1005"/>
              <w:gridCol w:w="1168"/>
              <w:gridCol w:w="843"/>
            </w:tblGrid>
            <w:tr w14:paraId="080B9D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000" w:type="pct"/>
                  <w:gridSpan w:val="8"/>
                  <w:vAlign w:val="center"/>
                </w:tcPr>
                <w:p w14:paraId="6F31DDE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各产品种类配比（kg/m</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r>
            <w:tr w14:paraId="69CF32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78276C5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c>
                <w:tcPr>
                  <w:tcW w:w="624" w:type="pct"/>
                  <w:vAlign w:val="center"/>
                </w:tcPr>
                <w:p w14:paraId="132ABEF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水泥（P.042.5）</w:t>
                  </w:r>
                </w:p>
              </w:tc>
              <w:tc>
                <w:tcPr>
                  <w:tcW w:w="624" w:type="pct"/>
                  <w:vAlign w:val="center"/>
                </w:tcPr>
                <w:p w14:paraId="54D3A25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粉煤灰</w:t>
                  </w:r>
                </w:p>
                <w:p w14:paraId="1E3E82D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F类1级</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624" w:type="pct"/>
                  <w:vAlign w:val="center"/>
                </w:tcPr>
                <w:p w14:paraId="5BACABC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细骨料</w:t>
                  </w:r>
                </w:p>
                <w:p w14:paraId="4550EB0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（细砂）</w:t>
                  </w:r>
                </w:p>
              </w:tc>
              <w:tc>
                <w:tcPr>
                  <w:tcW w:w="624" w:type="pct"/>
                  <w:vAlign w:val="center"/>
                </w:tcPr>
                <w:p w14:paraId="1C2186D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粗骨料(5-10mm)</w:t>
                  </w:r>
                </w:p>
              </w:tc>
              <w:tc>
                <w:tcPr>
                  <w:tcW w:w="624" w:type="pct"/>
                  <w:vAlign w:val="center"/>
                </w:tcPr>
                <w:p w14:paraId="77EC4F4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粗骨料(10-16mm)</w:t>
                  </w:r>
                </w:p>
              </w:tc>
              <w:tc>
                <w:tcPr>
                  <w:tcW w:w="726" w:type="pct"/>
                  <w:vAlign w:val="center"/>
                </w:tcPr>
                <w:p w14:paraId="41E6ADC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粗骨料(16-31.5mm)</w:t>
                  </w:r>
                </w:p>
              </w:tc>
              <w:tc>
                <w:tcPr>
                  <w:tcW w:w="524" w:type="pct"/>
                  <w:vAlign w:val="center"/>
                </w:tcPr>
                <w:p w14:paraId="29514A8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外加剂</w:t>
                  </w:r>
                </w:p>
              </w:tc>
            </w:tr>
            <w:tr w14:paraId="710044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24384B1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C15</w:t>
                  </w:r>
                </w:p>
              </w:tc>
              <w:tc>
                <w:tcPr>
                  <w:tcW w:w="624" w:type="pct"/>
                  <w:vAlign w:val="center"/>
                </w:tcPr>
                <w:p w14:paraId="40ECFF0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232</w:t>
                  </w:r>
                </w:p>
              </w:tc>
              <w:tc>
                <w:tcPr>
                  <w:tcW w:w="624" w:type="pct"/>
                  <w:vAlign w:val="center"/>
                </w:tcPr>
                <w:p w14:paraId="0708A023">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1</w:t>
                  </w:r>
                </w:p>
              </w:tc>
              <w:tc>
                <w:tcPr>
                  <w:tcW w:w="624" w:type="pct"/>
                  <w:vAlign w:val="center"/>
                </w:tcPr>
                <w:p w14:paraId="21E0262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20</w:t>
                  </w:r>
                </w:p>
              </w:tc>
              <w:tc>
                <w:tcPr>
                  <w:tcW w:w="624" w:type="pct"/>
                  <w:vAlign w:val="center"/>
                </w:tcPr>
                <w:p w14:paraId="00FAB936">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13</w:t>
                  </w:r>
                </w:p>
              </w:tc>
              <w:tc>
                <w:tcPr>
                  <w:tcW w:w="624" w:type="pct"/>
                  <w:vAlign w:val="center"/>
                </w:tcPr>
                <w:p w14:paraId="561297AA">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66</w:t>
                  </w:r>
                </w:p>
              </w:tc>
              <w:tc>
                <w:tcPr>
                  <w:tcW w:w="726" w:type="pct"/>
                  <w:vAlign w:val="center"/>
                </w:tcPr>
                <w:p w14:paraId="15F5DE43">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54</w:t>
                  </w:r>
                </w:p>
              </w:tc>
              <w:tc>
                <w:tcPr>
                  <w:tcW w:w="524" w:type="pct"/>
                  <w:vAlign w:val="center"/>
                </w:tcPr>
                <w:p w14:paraId="4BEA673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w:t>
                  </w:r>
                  <w:r>
                    <w:rPr>
                      <w:rFonts w:ascii="Times New Roman" w:hAnsi="Times New Roman" w:eastAsia="宋体" w:cs="Times New Roman"/>
                      <w:color w:val="000000" w:themeColor="text1"/>
                      <w:szCs w:val="21"/>
                      <w:highlight w:val="none"/>
                      <w14:textFill>
                        <w14:solidFill>
                          <w14:schemeClr w14:val="tx1"/>
                        </w14:solidFill>
                      </w14:textFill>
                    </w:rPr>
                    <w:t>.73</w:t>
                  </w:r>
                </w:p>
              </w:tc>
            </w:tr>
            <w:tr w14:paraId="75C9BC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451A7E8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C20</w:t>
                  </w:r>
                </w:p>
              </w:tc>
              <w:tc>
                <w:tcPr>
                  <w:tcW w:w="624" w:type="pct"/>
                  <w:vAlign w:val="center"/>
                </w:tcPr>
                <w:p w14:paraId="78C87F0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w:t>
                  </w:r>
                  <w:r>
                    <w:rPr>
                      <w:rFonts w:ascii="Times New Roman" w:hAnsi="Times New Roman" w:eastAsia="宋体" w:cs="Times New Roman"/>
                      <w:color w:val="000000" w:themeColor="text1"/>
                      <w:szCs w:val="21"/>
                      <w:highlight w:val="none"/>
                      <w14:textFill>
                        <w14:solidFill>
                          <w14:schemeClr w14:val="tx1"/>
                        </w14:solidFill>
                      </w14:textFill>
                    </w:rPr>
                    <w:t>58</w:t>
                  </w:r>
                </w:p>
              </w:tc>
              <w:tc>
                <w:tcPr>
                  <w:tcW w:w="624" w:type="pct"/>
                  <w:vAlign w:val="center"/>
                </w:tcPr>
                <w:p w14:paraId="500CCE4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6</w:t>
                  </w:r>
                </w:p>
              </w:tc>
              <w:tc>
                <w:tcPr>
                  <w:tcW w:w="624" w:type="pct"/>
                  <w:vAlign w:val="center"/>
                </w:tcPr>
                <w:p w14:paraId="139B2EF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11</w:t>
                  </w:r>
                </w:p>
              </w:tc>
              <w:tc>
                <w:tcPr>
                  <w:tcW w:w="624" w:type="pct"/>
                  <w:vAlign w:val="center"/>
                </w:tcPr>
                <w:p w14:paraId="532D0FD6">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12</w:t>
                  </w:r>
                </w:p>
              </w:tc>
              <w:tc>
                <w:tcPr>
                  <w:tcW w:w="624" w:type="pct"/>
                  <w:vAlign w:val="center"/>
                </w:tcPr>
                <w:p w14:paraId="21D1D395">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61</w:t>
                  </w:r>
                </w:p>
              </w:tc>
              <w:tc>
                <w:tcPr>
                  <w:tcW w:w="726" w:type="pct"/>
                  <w:vAlign w:val="center"/>
                </w:tcPr>
                <w:p w14:paraId="5C1731A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48</w:t>
                  </w:r>
                </w:p>
              </w:tc>
              <w:tc>
                <w:tcPr>
                  <w:tcW w:w="524" w:type="pct"/>
                  <w:vAlign w:val="center"/>
                </w:tcPr>
                <w:p w14:paraId="02761B6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.04</w:t>
                  </w:r>
                </w:p>
              </w:tc>
            </w:tr>
            <w:tr w14:paraId="5E23B9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5293FBA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C25</w:t>
                  </w:r>
                </w:p>
              </w:tc>
              <w:tc>
                <w:tcPr>
                  <w:tcW w:w="624" w:type="pct"/>
                  <w:vAlign w:val="center"/>
                </w:tcPr>
                <w:p w14:paraId="6A133946">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w:t>
                  </w:r>
                  <w:r>
                    <w:rPr>
                      <w:rFonts w:ascii="Times New Roman" w:hAnsi="Times New Roman" w:eastAsia="宋体" w:cs="Times New Roman"/>
                      <w:color w:val="000000" w:themeColor="text1"/>
                      <w:szCs w:val="21"/>
                      <w:highlight w:val="none"/>
                      <w14:textFill>
                        <w14:solidFill>
                          <w14:schemeClr w14:val="tx1"/>
                        </w14:solidFill>
                      </w14:textFill>
                    </w:rPr>
                    <w:t>79</w:t>
                  </w:r>
                </w:p>
              </w:tc>
              <w:tc>
                <w:tcPr>
                  <w:tcW w:w="624" w:type="pct"/>
                  <w:vAlign w:val="center"/>
                </w:tcPr>
                <w:p w14:paraId="60EC0A52">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9</w:t>
                  </w:r>
                </w:p>
              </w:tc>
              <w:tc>
                <w:tcPr>
                  <w:tcW w:w="624" w:type="pct"/>
                  <w:vAlign w:val="center"/>
                </w:tcPr>
                <w:p w14:paraId="6E1F853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01</w:t>
                  </w:r>
                </w:p>
              </w:tc>
              <w:tc>
                <w:tcPr>
                  <w:tcW w:w="624" w:type="pct"/>
                  <w:vAlign w:val="center"/>
                </w:tcPr>
                <w:p w14:paraId="03339CB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11</w:t>
                  </w:r>
                </w:p>
              </w:tc>
              <w:tc>
                <w:tcPr>
                  <w:tcW w:w="624" w:type="pct"/>
                  <w:vAlign w:val="center"/>
                </w:tcPr>
                <w:p w14:paraId="339CE91A">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53</w:t>
                  </w:r>
                </w:p>
              </w:tc>
              <w:tc>
                <w:tcPr>
                  <w:tcW w:w="726" w:type="pct"/>
                  <w:vAlign w:val="center"/>
                </w:tcPr>
                <w:p w14:paraId="0487D6A2">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43</w:t>
                  </w:r>
                </w:p>
              </w:tc>
              <w:tc>
                <w:tcPr>
                  <w:tcW w:w="524" w:type="pct"/>
                  <w:vAlign w:val="center"/>
                </w:tcPr>
                <w:p w14:paraId="736B2CDC">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.28</w:t>
                  </w:r>
                </w:p>
              </w:tc>
            </w:tr>
            <w:tr w14:paraId="28CA24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08C0A3B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C30</w:t>
                  </w:r>
                </w:p>
              </w:tc>
              <w:tc>
                <w:tcPr>
                  <w:tcW w:w="624" w:type="pct"/>
                  <w:vAlign w:val="center"/>
                </w:tcPr>
                <w:p w14:paraId="5E995D4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09</w:t>
                  </w:r>
                </w:p>
              </w:tc>
              <w:tc>
                <w:tcPr>
                  <w:tcW w:w="624" w:type="pct"/>
                  <w:vAlign w:val="center"/>
                </w:tcPr>
                <w:p w14:paraId="182D068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5</w:t>
                  </w:r>
                </w:p>
              </w:tc>
              <w:tc>
                <w:tcPr>
                  <w:tcW w:w="624" w:type="pct"/>
                  <w:vAlign w:val="center"/>
                </w:tcPr>
                <w:p w14:paraId="117B1B6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05</w:t>
                  </w:r>
                </w:p>
              </w:tc>
              <w:tc>
                <w:tcPr>
                  <w:tcW w:w="624" w:type="pct"/>
                  <w:vAlign w:val="center"/>
                </w:tcPr>
                <w:p w14:paraId="6A7C1DA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07</w:t>
                  </w:r>
                </w:p>
              </w:tc>
              <w:tc>
                <w:tcPr>
                  <w:tcW w:w="624" w:type="pct"/>
                  <w:vAlign w:val="center"/>
                </w:tcPr>
                <w:p w14:paraId="3657A7A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33</w:t>
                  </w:r>
                </w:p>
              </w:tc>
              <w:tc>
                <w:tcPr>
                  <w:tcW w:w="726" w:type="pct"/>
                  <w:vAlign w:val="center"/>
                </w:tcPr>
                <w:p w14:paraId="4D53960C">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27</w:t>
                  </w:r>
                </w:p>
              </w:tc>
              <w:tc>
                <w:tcPr>
                  <w:tcW w:w="524" w:type="pct"/>
                  <w:vAlign w:val="center"/>
                </w:tcPr>
                <w:p w14:paraId="1667B43F">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.64</w:t>
                  </w:r>
                </w:p>
              </w:tc>
            </w:tr>
            <w:tr w14:paraId="6C9517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0D70363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C35</w:t>
                  </w:r>
                </w:p>
              </w:tc>
              <w:tc>
                <w:tcPr>
                  <w:tcW w:w="624" w:type="pct"/>
                  <w:vAlign w:val="center"/>
                </w:tcPr>
                <w:p w14:paraId="3225298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32</w:t>
                  </w:r>
                </w:p>
              </w:tc>
              <w:tc>
                <w:tcPr>
                  <w:tcW w:w="624" w:type="pct"/>
                  <w:vAlign w:val="center"/>
                </w:tcPr>
                <w:p w14:paraId="687998B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8</w:t>
                  </w:r>
                </w:p>
              </w:tc>
              <w:tc>
                <w:tcPr>
                  <w:tcW w:w="624" w:type="pct"/>
                  <w:vAlign w:val="center"/>
                </w:tcPr>
                <w:p w14:paraId="63D4A83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7</w:t>
                  </w:r>
                  <w:r>
                    <w:rPr>
                      <w:rFonts w:ascii="Times New Roman" w:hAnsi="Times New Roman" w:eastAsia="宋体" w:cs="Times New Roman"/>
                      <w:color w:val="000000" w:themeColor="text1"/>
                      <w:szCs w:val="21"/>
                      <w:highlight w:val="none"/>
                      <w14:textFill>
                        <w14:solidFill>
                          <w14:schemeClr w14:val="tx1"/>
                        </w14:solidFill>
                      </w14:textFill>
                    </w:rPr>
                    <w:t>94</w:t>
                  </w:r>
                </w:p>
              </w:tc>
              <w:tc>
                <w:tcPr>
                  <w:tcW w:w="624" w:type="pct"/>
                  <w:vAlign w:val="center"/>
                </w:tcPr>
                <w:p w14:paraId="6D9DC6D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05</w:t>
                  </w:r>
                </w:p>
              </w:tc>
              <w:tc>
                <w:tcPr>
                  <w:tcW w:w="624" w:type="pct"/>
                  <w:vAlign w:val="center"/>
                </w:tcPr>
                <w:p w14:paraId="107BF99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26</w:t>
                  </w:r>
                </w:p>
              </w:tc>
              <w:tc>
                <w:tcPr>
                  <w:tcW w:w="726" w:type="pct"/>
                  <w:vAlign w:val="center"/>
                </w:tcPr>
                <w:p w14:paraId="01259C8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21</w:t>
                  </w:r>
                </w:p>
              </w:tc>
              <w:tc>
                <w:tcPr>
                  <w:tcW w:w="524" w:type="pct"/>
                  <w:vAlign w:val="center"/>
                </w:tcPr>
                <w:p w14:paraId="169615A7">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.90</w:t>
                  </w:r>
                </w:p>
              </w:tc>
            </w:tr>
            <w:tr w14:paraId="453E88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428E648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C40</w:t>
                  </w:r>
                </w:p>
              </w:tc>
              <w:tc>
                <w:tcPr>
                  <w:tcW w:w="624" w:type="pct"/>
                  <w:vAlign w:val="center"/>
                </w:tcPr>
                <w:p w14:paraId="358F12C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290</w:t>
                  </w:r>
                </w:p>
              </w:tc>
              <w:tc>
                <w:tcPr>
                  <w:tcW w:w="624" w:type="pct"/>
                  <w:vAlign w:val="center"/>
                </w:tcPr>
                <w:p w14:paraId="09435DAC">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120</w:t>
                  </w:r>
                </w:p>
              </w:tc>
              <w:tc>
                <w:tcPr>
                  <w:tcW w:w="624" w:type="pct"/>
                  <w:vAlign w:val="center"/>
                </w:tcPr>
                <w:p w14:paraId="705CCDA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753</w:t>
                  </w:r>
                </w:p>
              </w:tc>
              <w:tc>
                <w:tcPr>
                  <w:tcW w:w="624" w:type="pct"/>
                  <w:vAlign w:val="center"/>
                </w:tcPr>
                <w:p w14:paraId="597EE44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217</w:t>
                  </w:r>
                </w:p>
              </w:tc>
              <w:tc>
                <w:tcPr>
                  <w:tcW w:w="624" w:type="pct"/>
                  <w:vAlign w:val="center"/>
                </w:tcPr>
                <w:p w14:paraId="7D7F1C32">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542</w:t>
                  </w:r>
                </w:p>
              </w:tc>
              <w:tc>
                <w:tcPr>
                  <w:tcW w:w="726" w:type="pct"/>
                  <w:vAlign w:val="center"/>
                </w:tcPr>
                <w:p w14:paraId="1BDAE39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325</w:t>
                  </w:r>
                </w:p>
              </w:tc>
              <w:tc>
                <w:tcPr>
                  <w:tcW w:w="524" w:type="pct"/>
                  <w:vAlign w:val="center"/>
                </w:tcPr>
                <w:p w14:paraId="6366B10E">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4.15</w:t>
                  </w:r>
                </w:p>
              </w:tc>
            </w:tr>
            <w:tr w14:paraId="6A9377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4189552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C50</w:t>
                  </w:r>
                </w:p>
              </w:tc>
              <w:tc>
                <w:tcPr>
                  <w:tcW w:w="624" w:type="pct"/>
                  <w:vAlign w:val="center"/>
                </w:tcPr>
                <w:p w14:paraId="382D324A">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360</w:t>
                  </w:r>
                </w:p>
              </w:tc>
              <w:tc>
                <w:tcPr>
                  <w:tcW w:w="624" w:type="pct"/>
                  <w:vAlign w:val="center"/>
                </w:tcPr>
                <w:p w14:paraId="3831167F">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72</w:t>
                  </w:r>
                </w:p>
              </w:tc>
              <w:tc>
                <w:tcPr>
                  <w:tcW w:w="624" w:type="pct"/>
                  <w:vAlign w:val="center"/>
                </w:tcPr>
                <w:p w14:paraId="5BFBA2D2">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712</w:t>
                  </w:r>
                </w:p>
              </w:tc>
              <w:tc>
                <w:tcPr>
                  <w:tcW w:w="624" w:type="pct"/>
                  <w:vAlign w:val="center"/>
                </w:tcPr>
                <w:p w14:paraId="58ADE98B">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349</w:t>
                  </w:r>
                </w:p>
              </w:tc>
              <w:tc>
                <w:tcPr>
                  <w:tcW w:w="624" w:type="pct"/>
                  <w:vAlign w:val="center"/>
                </w:tcPr>
                <w:p w14:paraId="6B161656">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814</w:t>
                  </w:r>
                </w:p>
              </w:tc>
              <w:tc>
                <w:tcPr>
                  <w:tcW w:w="726" w:type="pct"/>
                  <w:vAlign w:val="center"/>
                </w:tcPr>
                <w:p w14:paraId="0A3CA40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w:t>
                  </w:r>
                </w:p>
              </w:tc>
              <w:tc>
                <w:tcPr>
                  <w:tcW w:w="524" w:type="pct"/>
                  <w:vAlign w:val="center"/>
                </w:tcPr>
                <w:p w14:paraId="43D9FDD0">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4.80</w:t>
                  </w:r>
                </w:p>
              </w:tc>
            </w:tr>
          </w:tbl>
          <w:p w14:paraId="7C7878BE">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本项目</w:t>
            </w:r>
            <w:r>
              <w:rPr>
                <w:rFonts w:hint="eastAsia" w:ascii="Times New Roman" w:hAnsi="Times New Roman" w:eastAsia="宋体"/>
                <w:color w:val="000000" w:themeColor="text1"/>
                <w:sz w:val="24"/>
                <w:highlight w:val="none"/>
                <w:lang w:eastAsia="zh-CN"/>
                <w14:textFill>
                  <w14:solidFill>
                    <w14:schemeClr w14:val="tx1"/>
                  </w14:solidFill>
                </w14:textFill>
              </w:rPr>
              <w:t>全厂</w:t>
            </w:r>
            <w:r>
              <w:rPr>
                <w:rFonts w:ascii="Times New Roman" w:hAnsi="Times New Roman" w:eastAsia="宋体"/>
                <w:color w:val="000000" w:themeColor="text1"/>
                <w:sz w:val="24"/>
                <w:highlight w:val="none"/>
                <w14:textFill>
                  <w14:solidFill>
                    <w14:schemeClr w14:val="tx1"/>
                  </w14:solidFill>
                </w14:textFill>
              </w:rPr>
              <w:t>主要原辅材料及能源消耗情况如下表所示。</w:t>
            </w:r>
          </w:p>
          <w:p w14:paraId="62BD975F">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11</w:t>
            </w:r>
            <w:r>
              <w:rPr>
                <w:rFonts w:ascii="Times New Roman" w:hAnsi="Times New Roman" w:eastAsia="宋体"/>
                <w:b/>
                <w:bCs/>
                <w:color w:val="000000" w:themeColor="text1"/>
                <w:kern w:val="0"/>
                <w:szCs w:val="21"/>
                <w:highlight w:val="none"/>
                <w14:textFill>
                  <w14:solidFill>
                    <w14:schemeClr w14:val="tx1"/>
                  </w14:solidFill>
                </w14:textFill>
              </w:rPr>
              <w:t xml:space="preserve">    原辅材料及能源消耗</w:t>
            </w:r>
          </w:p>
          <w:tbl>
            <w:tblPr>
              <w:tblStyle w:val="20"/>
              <w:tblW w:w="497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2"/>
              <w:gridCol w:w="398"/>
              <w:gridCol w:w="915"/>
              <w:gridCol w:w="1075"/>
              <w:gridCol w:w="1009"/>
              <w:gridCol w:w="924"/>
              <w:gridCol w:w="1138"/>
              <w:gridCol w:w="729"/>
              <w:gridCol w:w="1106"/>
            </w:tblGrid>
            <w:tr w14:paraId="424309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1110" w:type="dxa"/>
                  <w:gridSpan w:val="2"/>
                  <w:noWrap w:val="0"/>
                  <w:vAlign w:val="center"/>
                </w:tcPr>
                <w:p w14:paraId="7754937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序号</w:t>
                  </w:r>
                </w:p>
              </w:tc>
              <w:tc>
                <w:tcPr>
                  <w:tcW w:w="915" w:type="dxa"/>
                  <w:noWrap w:val="0"/>
                  <w:vAlign w:val="center"/>
                </w:tcPr>
                <w:p w14:paraId="662E6D1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名称</w:t>
                  </w:r>
                </w:p>
              </w:tc>
              <w:tc>
                <w:tcPr>
                  <w:tcW w:w="1075" w:type="dxa"/>
                  <w:noWrap w:val="0"/>
                  <w:vAlign w:val="center"/>
                </w:tcPr>
                <w:p w14:paraId="697B83D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单位</w:t>
                  </w:r>
                </w:p>
              </w:tc>
              <w:tc>
                <w:tcPr>
                  <w:tcW w:w="1009" w:type="dxa"/>
                  <w:noWrap w:val="0"/>
                  <w:vAlign w:val="center"/>
                </w:tcPr>
                <w:p w14:paraId="3A49D62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耗量</w:t>
                  </w:r>
                </w:p>
              </w:tc>
              <w:tc>
                <w:tcPr>
                  <w:tcW w:w="924" w:type="dxa"/>
                  <w:noWrap w:val="0"/>
                  <w:vAlign w:val="center"/>
                </w:tcPr>
                <w:p w14:paraId="2EF3811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原料性状</w:t>
                  </w:r>
                </w:p>
              </w:tc>
              <w:tc>
                <w:tcPr>
                  <w:tcW w:w="1138" w:type="dxa"/>
                  <w:noWrap w:val="0"/>
                  <w:vAlign w:val="center"/>
                </w:tcPr>
                <w:p w14:paraId="71BDFFC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储存方式</w:t>
                  </w:r>
                </w:p>
              </w:tc>
              <w:tc>
                <w:tcPr>
                  <w:tcW w:w="729" w:type="dxa"/>
                  <w:noWrap w:val="0"/>
                  <w:vAlign w:val="center"/>
                </w:tcPr>
                <w:p w14:paraId="4A38811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来源</w:t>
                  </w:r>
                </w:p>
              </w:tc>
              <w:tc>
                <w:tcPr>
                  <w:tcW w:w="1106" w:type="dxa"/>
                  <w:noWrap w:val="0"/>
                  <w:vAlign w:val="center"/>
                </w:tcPr>
                <w:p w14:paraId="2CACD9D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运输方式</w:t>
                  </w:r>
                </w:p>
              </w:tc>
            </w:tr>
            <w:tr w14:paraId="6966A4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restart"/>
                  <w:noWrap w:val="0"/>
                  <w:vAlign w:val="center"/>
                </w:tcPr>
                <w:p w14:paraId="1ECA1B3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主料</w:t>
                  </w:r>
                </w:p>
              </w:tc>
              <w:tc>
                <w:tcPr>
                  <w:tcW w:w="398" w:type="dxa"/>
                  <w:vMerge w:val="restart"/>
                  <w:noWrap w:val="0"/>
                  <w:vAlign w:val="center"/>
                </w:tcPr>
                <w:p w14:paraId="2DBB757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t>商品混凝土</w:t>
                  </w: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搅</w:t>
                  </w:r>
                </w:p>
                <w:p w14:paraId="687E4D7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拌</w:t>
                  </w:r>
                </w:p>
                <w:p w14:paraId="2F98B90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系</w:t>
                  </w:r>
                </w:p>
                <w:p w14:paraId="79066B0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统</w:t>
                  </w:r>
                </w:p>
              </w:tc>
              <w:tc>
                <w:tcPr>
                  <w:tcW w:w="915" w:type="dxa"/>
                  <w:noWrap w:val="0"/>
                  <w:vAlign w:val="center"/>
                </w:tcPr>
                <w:p w14:paraId="3A839B9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水泥（P.42.5）</w:t>
                  </w:r>
                </w:p>
              </w:tc>
              <w:tc>
                <w:tcPr>
                  <w:tcW w:w="1075" w:type="dxa"/>
                  <w:noWrap w:val="0"/>
                  <w:vAlign w:val="center"/>
                </w:tcPr>
                <w:p w14:paraId="46426FF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1C04C628">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1.28</w:t>
                  </w:r>
                </w:p>
              </w:tc>
              <w:tc>
                <w:tcPr>
                  <w:tcW w:w="924" w:type="dxa"/>
                  <w:noWrap w:val="0"/>
                  <w:vAlign w:val="center"/>
                </w:tcPr>
                <w:p w14:paraId="102C186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粉状</w:t>
                  </w:r>
                </w:p>
              </w:tc>
              <w:tc>
                <w:tcPr>
                  <w:tcW w:w="1138" w:type="dxa"/>
                  <w:noWrap w:val="0"/>
                  <w:vAlign w:val="center"/>
                </w:tcPr>
                <w:p w14:paraId="28FE0FC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水泥筒仓</w:t>
                  </w:r>
                </w:p>
              </w:tc>
              <w:tc>
                <w:tcPr>
                  <w:tcW w:w="729" w:type="dxa"/>
                  <w:noWrap w:val="0"/>
                  <w:vAlign w:val="center"/>
                </w:tcPr>
                <w:p w14:paraId="44094AA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5CE92BC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罐车运输</w:t>
                  </w:r>
                </w:p>
              </w:tc>
            </w:tr>
            <w:tr w14:paraId="00007C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591C54D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6E75688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0414016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粉煤灰</w:t>
                  </w:r>
                </w:p>
                <w:p w14:paraId="18EA333E">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（F类1级）</w:t>
                  </w:r>
                </w:p>
              </w:tc>
              <w:tc>
                <w:tcPr>
                  <w:tcW w:w="1075" w:type="dxa"/>
                  <w:noWrap w:val="0"/>
                  <w:vAlign w:val="center"/>
                </w:tcPr>
                <w:p w14:paraId="1CBE844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0B04CE44">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0.24</w:t>
                  </w:r>
                </w:p>
              </w:tc>
              <w:tc>
                <w:tcPr>
                  <w:tcW w:w="924" w:type="dxa"/>
                  <w:noWrap w:val="0"/>
                  <w:vAlign w:val="center"/>
                </w:tcPr>
                <w:p w14:paraId="4ECEF9A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粉状</w:t>
                  </w:r>
                </w:p>
              </w:tc>
              <w:tc>
                <w:tcPr>
                  <w:tcW w:w="1138" w:type="dxa"/>
                  <w:noWrap w:val="0"/>
                  <w:vAlign w:val="center"/>
                </w:tcPr>
                <w:p w14:paraId="64ED707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粉煤灰筒仓</w:t>
                  </w:r>
                </w:p>
              </w:tc>
              <w:tc>
                <w:tcPr>
                  <w:tcW w:w="729" w:type="dxa"/>
                  <w:noWrap w:val="0"/>
                  <w:vAlign w:val="center"/>
                </w:tcPr>
                <w:p w14:paraId="1C4BE8A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2906273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1FFC4A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14715D6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00526B4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31227EE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细骨料</w:t>
                  </w:r>
                </w:p>
                <w:p w14:paraId="4AAF273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（细砂）</w:t>
                  </w:r>
                </w:p>
              </w:tc>
              <w:tc>
                <w:tcPr>
                  <w:tcW w:w="1075" w:type="dxa"/>
                  <w:noWrap w:val="0"/>
                  <w:vAlign w:val="center"/>
                </w:tcPr>
                <w:p w14:paraId="06316DD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2417179D">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3.53</w:t>
                  </w:r>
                </w:p>
              </w:tc>
              <w:tc>
                <w:tcPr>
                  <w:tcW w:w="924" w:type="dxa"/>
                  <w:noWrap w:val="0"/>
                  <w:vAlign w:val="center"/>
                </w:tcPr>
                <w:p w14:paraId="2359272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05DBCA8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729" w:type="dxa"/>
                  <w:noWrap w:val="0"/>
                  <w:vAlign w:val="center"/>
                </w:tcPr>
                <w:p w14:paraId="43B0D38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7B6F35D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6BF98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32134F3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E143D9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0CCF7ED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粗骨料（5-10mm）</w:t>
                  </w:r>
                </w:p>
              </w:tc>
              <w:tc>
                <w:tcPr>
                  <w:tcW w:w="1075" w:type="dxa"/>
                  <w:noWrap w:val="0"/>
                  <w:vAlign w:val="center"/>
                </w:tcPr>
                <w:p w14:paraId="3A77176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2C1B79A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0.62</w:t>
                  </w:r>
                </w:p>
              </w:tc>
              <w:tc>
                <w:tcPr>
                  <w:tcW w:w="924" w:type="dxa"/>
                  <w:noWrap w:val="0"/>
                  <w:vAlign w:val="center"/>
                </w:tcPr>
                <w:p w14:paraId="4F45FD3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2F506FF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729" w:type="dxa"/>
                  <w:noWrap w:val="0"/>
                  <w:vAlign w:val="center"/>
                </w:tcPr>
                <w:p w14:paraId="128C276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21FD6F3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07E38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511988D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0AA6275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22140D89">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粗骨料（10-</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16</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mm）</w:t>
                  </w:r>
                </w:p>
              </w:tc>
              <w:tc>
                <w:tcPr>
                  <w:tcW w:w="1075" w:type="dxa"/>
                  <w:noWrap w:val="0"/>
                  <w:vAlign w:val="center"/>
                </w:tcPr>
                <w:p w14:paraId="53F47F7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429B2EF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2.58</w:t>
                  </w:r>
                </w:p>
              </w:tc>
              <w:tc>
                <w:tcPr>
                  <w:tcW w:w="924" w:type="dxa"/>
                  <w:noWrap w:val="0"/>
                  <w:vAlign w:val="center"/>
                </w:tcPr>
                <w:p w14:paraId="7E2901B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009B5CF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729" w:type="dxa"/>
                  <w:noWrap w:val="0"/>
                  <w:vAlign w:val="center"/>
                </w:tcPr>
                <w:p w14:paraId="26F2654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3A4E676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FC0FF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228FAD9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25F9740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573FEB26">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粗骨料（16-31.5mm）</w:t>
                  </w:r>
                </w:p>
              </w:tc>
              <w:tc>
                <w:tcPr>
                  <w:tcW w:w="1075" w:type="dxa"/>
                  <w:noWrap w:val="0"/>
                  <w:vAlign w:val="center"/>
                </w:tcPr>
                <w:p w14:paraId="498B59B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155299F9">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1.72</w:t>
                  </w:r>
                </w:p>
              </w:tc>
              <w:tc>
                <w:tcPr>
                  <w:tcW w:w="924" w:type="dxa"/>
                  <w:noWrap w:val="0"/>
                  <w:vAlign w:val="center"/>
                </w:tcPr>
                <w:p w14:paraId="0B4CDA9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391A760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729" w:type="dxa"/>
                  <w:noWrap w:val="0"/>
                  <w:vAlign w:val="center"/>
                </w:tcPr>
                <w:p w14:paraId="38E48F5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1E2D7D0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FEEF1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6058BAE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A46B10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6552DF1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外加剂</w:t>
                  </w:r>
                </w:p>
              </w:tc>
              <w:tc>
                <w:tcPr>
                  <w:tcW w:w="1075" w:type="dxa"/>
                  <w:noWrap w:val="0"/>
                  <w:vAlign w:val="center"/>
                </w:tcPr>
                <w:p w14:paraId="1753DA9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55AF8AE5">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0.02</w:t>
                  </w:r>
                </w:p>
              </w:tc>
              <w:tc>
                <w:tcPr>
                  <w:tcW w:w="924" w:type="dxa"/>
                  <w:noWrap w:val="0"/>
                  <w:vAlign w:val="center"/>
                </w:tcPr>
                <w:p w14:paraId="780EF34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粉状</w:t>
                  </w:r>
                </w:p>
              </w:tc>
              <w:tc>
                <w:tcPr>
                  <w:tcW w:w="1138" w:type="dxa"/>
                  <w:noWrap w:val="0"/>
                  <w:vAlign w:val="center"/>
                </w:tcPr>
                <w:p w14:paraId="6E32D22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罐装</w:t>
                  </w:r>
                </w:p>
              </w:tc>
              <w:tc>
                <w:tcPr>
                  <w:tcW w:w="729" w:type="dxa"/>
                  <w:noWrap w:val="0"/>
                  <w:vAlign w:val="center"/>
                </w:tcPr>
                <w:p w14:paraId="707091A7">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228C63BE">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75B5D0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52105C3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1D4D99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08B5AA8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水</w:t>
                  </w:r>
                </w:p>
              </w:tc>
              <w:tc>
                <w:tcPr>
                  <w:tcW w:w="1075" w:type="dxa"/>
                  <w:noWrap w:val="0"/>
                  <w:vAlign w:val="center"/>
                </w:tcPr>
                <w:p w14:paraId="68BF74E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14C513B1">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1.776</w:t>
                  </w:r>
                </w:p>
              </w:tc>
              <w:tc>
                <w:tcPr>
                  <w:tcW w:w="924" w:type="dxa"/>
                  <w:noWrap w:val="0"/>
                  <w:vAlign w:val="center"/>
                </w:tcPr>
                <w:p w14:paraId="23B3E923">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0FE2F12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储水罐</w:t>
                  </w:r>
                </w:p>
              </w:tc>
              <w:tc>
                <w:tcPr>
                  <w:tcW w:w="729" w:type="dxa"/>
                  <w:noWrap w:val="0"/>
                  <w:vAlign w:val="center"/>
                </w:tcPr>
                <w:p w14:paraId="4BA6612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自来</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水</w:t>
                  </w:r>
                </w:p>
              </w:tc>
              <w:tc>
                <w:tcPr>
                  <w:tcW w:w="1106" w:type="dxa"/>
                  <w:noWrap w:val="0"/>
                  <w:vAlign w:val="center"/>
                </w:tcPr>
                <w:p w14:paraId="3B4C2A8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管道连接</w:t>
                  </w:r>
                </w:p>
              </w:tc>
            </w:tr>
            <w:tr w14:paraId="472CFF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4519E21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restart"/>
                  <w:noWrap w:val="0"/>
                  <w:vAlign w:val="center"/>
                </w:tcPr>
                <w:p w14:paraId="55DC293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t>钢筋加工厂</w:t>
                  </w:r>
                </w:p>
              </w:tc>
              <w:tc>
                <w:tcPr>
                  <w:tcW w:w="915" w:type="dxa"/>
                  <w:noWrap w:val="0"/>
                  <w:vAlign w:val="center"/>
                </w:tcPr>
                <w:p w14:paraId="4449488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钢筋</w:t>
                  </w:r>
                </w:p>
              </w:tc>
              <w:tc>
                <w:tcPr>
                  <w:tcW w:w="1075" w:type="dxa"/>
                  <w:noWrap w:val="0"/>
                  <w:vAlign w:val="center"/>
                </w:tcPr>
                <w:p w14:paraId="6AA7A71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17D5B3B9">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0.282</w:t>
                  </w:r>
                </w:p>
              </w:tc>
              <w:tc>
                <w:tcPr>
                  <w:tcW w:w="924" w:type="dxa"/>
                  <w:noWrap w:val="0"/>
                  <w:vAlign w:val="center"/>
                </w:tcPr>
                <w:p w14:paraId="34D8968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直条、盘卷</w:t>
                  </w:r>
                </w:p>
              </w:tc>
              <w:tc>
                <w:tcPr>
                  <w:tcW w:w="1138" w:type="dxa"/>
                  <w:noWrap w:val="0"/>
                  <w:vAlign w:val="center"/>
                </w:tcPr>
                <w:p w14:paraId="383A73C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729" w:type="dxa"/>
                  <w:noWrap w:val="0"/>
                  <w:vAlign w:val="center"/>
                </w:tcPr>
                <w:p w14:paraId="3178CDB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5D6861D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FA37C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BEB522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682B994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noWrap w:val="0"/>
                  <w:vAlign w:val="center"/>
                </w:tcPr>
                <w:p w14:paraId="16AC727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焊料</w:t>
                  </w:r>
                </w:p>
                <w:p w14:paraId="6F26646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（焊条）</w:t>
                  </w:r>
                </w:p>
              </w:tc>
              <w:tc>
                <w:tcPr>
                  <w:tcW w:w="1075" w:type="dxa"/>
                  <w:noWrap w:val="0"/>
                  <w:vAlign w:val="center"/>
                </w:tcPr>
                <w:p w14:paraId="249CBEF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w:t>
                  </w:r>
                </w:p>
              </w:tc>
              <w:tc>
                <w:tcPr>
                  <w:tcW w:w="1009" w:type="dxa"/>
                  <w:noWrap w:val="0"/>
                  <w:vAlign w:val="center"/>
                </w:tcPr>
                <w:p w14:paraId="109B33AB">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924" w:type="dxa"/>
                  <w:noWrap w:val="0"/>
                  <w:vAlign w:val="center"/>
                </w:tcPr>
                <w:p w14:paraId="240A59A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J502直条</w:t>
                  </w:r>
                </w:p>
              </w:tc>
              <w:tc>
                <w:tcPr>
                  <w:tcW w:w="1138" w:type="dxa"/>
                  <w:noWrap w:val="0"/>
                  <w:vAlign w:val="center"/>
                </w:tcPr>
                <w:p w14:paraId="260A24F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729" w:type="dxa"/>
                  <w:noWrap w:val="0"/>
                  <w:vAlign w:val="center"/>
                </w:tcPr>
                <w:p w14:paraId="4D2647A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38A979A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6D11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6D4A272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restart"/>
                  <w:noWrap w:val="0"/>
                  <w:vAlign w:val="center"/>
                </w:tcPr>
                <w:p w14:paraId="228DB44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t>预制梁厂</w:t>
                  </w:r>
                </w:p>
              </w:tc>
              <w:tc>
                <w:tcPr>
                  <w:tcW w:w="915" w:type="dxa"/>
                  <w:noWrap w:val="0"/>
                  <w:vAlign w:val="center"/>
                </w:tcPr>
                <w:p w14:paraId="4398390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混凝土</w:t>
                  </w:r>
                </w:p>
              </w:tc>
              <w:tc>
                <w:tcPr>
                  <w:tcW w:w="1075" w:type="dxa"/>
                  <w:noWrap w:val="0"/>
                  <w:vAlign w:val="center"/>
                </w:tcPr>
                <w:p w14:paraId="1B8CA61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kern w:val="0"/>
                      <w:sz w:val="21"/>
                      <w:szCs w:val="2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年</w:t>
                  </w:r>
                </w:p>
              </w:tc>
              <w:tc>
                <w:tcPr>
                  <w:tcW w:w="1009" w:type="dxa"/>
                  <w:noWrap w:val="0"/>
                  <w:vAlign w:val="center"/>
                </w:tcPr>
                <w:p w14:paraId="0F0D624D">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10200</w:t>
                  </w:r>
                </w:p>
              </w:tc>
              <w:tc>
                <w:tcPr>
                  <w:tcW w:w="924" w:type="dxa"/>
                  <w:noWrap w:val="0"/>
                  <w:vAlign w:val="center"/>
                </w:tcPr>
                <w:p w14:paraId="0BDEAEF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半固态</w:t>
                  </w:r>
                </w:p>
              </w:tc>
              <w:tc>
                <w:tcPr>
                  <w:tcW w:w="1138" w:type="dxa"/>
                  <w:noWrap w:val="0"/>
                  <w:vAlign w:val="center"/>
                </w:tcPr>
                <w:p w14:paraId="69C65C3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729" w:type="dxa"/>
                  <w:noWrap w:val="0"/>
                  <w:vAlign w:val="center"/>
                </w:tcPr>
                <w:p w14:paraId="726093DA">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自产</w:t>
                  </w:r>
                </w:p>
              </w:tc>
              <w:tc>
                <w:tcPr>
                  <w:tcW w:w="1106" w:type="dxa"/>
                  <w:noWrap w:val="0"/>
                  <w:vAlign w:val="center"/>
                </w:tcPr>
                <w:p w14:paraId="6DAFEA1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罐车</w:t>
                  </w:r>
                </w:p>
              </w:tc>
            </w:tr>
            <w:tr w14:paraId="627E92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7B8B680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271437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08F93E1E">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钢筋</w:t>
                  </w:r>
                </w:p>
              </w:tc>
              <w:tc>
                <w:tcPr>
                  <w:tcW w:w="1075" w:type="dxa"/>
                  <w:noWrap w:val="0"/>
                  <w:vAlign w:val="center"/>
                </w:tcPr>
                <w:p w14:paraId="62B30AD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1009" w:type="dxa"/>
                  <w:noWrap w:val="0"/>
                  <w:vAlign w:val="center"/>
                </w:tcPr>
                <w:p w14:paraId="2BE5297F">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0.2682</w:t>
                  </w:r>
                </w:p>
              </w:tc>
              <w:tc>
                <w:tcPr>
                  <w:tcW w:w="924" w:type="dxa"/>
                  <w:noWrap w:val="0"/>
                  <w:vAlign w:val="center"/>
                </w:tcPr>
                <w:p w14:paraId="5EE23D5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固态</w:t>
                  </w:r>
                </w:p>
              </w:tc>
              <w:tc>
                <w:tcPr>
                  <w:tcW w:w="1138" w:type="dxa"/>
                  <w:noWrap w:val="0"/>
                  <w:vAlign w:val="center"/>
                </w:tcPr>
                <w:p w14:paraId="49472BC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729" w:type="dxa"/>
                  <w:noWrap w:val="0"/>
                  <w:vAlign w:val="center"/>
                </w:tcPr>
                <w:p w14:paraId="6901081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1106" w:type="dxa"/>
                  <w:noWrap w:val="0"/>
                  <w:vAlign w:val="center"/>
                </w:tcPr>
                <w:p w14:paraId="3EB71947">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r>
            <w:tr w14:paraId="474C2E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38BD201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5A2746A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532069A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脱模剂</w:t>
                  </w:r>
                </w:p>
              </w:tc>
              <w:tc>
                <w:tcPr>
                  <w:tcW w:w="1075" w:type="dxa"/>
                  <w:noWrap w:val="0"/>
                  <w:vAlign w:val="center"/>
                </w:tcPr>
                <w:p w14:paraId="266B698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1009" w:type="dxa"/>
                  <w:noWrap w:val="0"/>
                  <w:vAlign w:val="center"/>
                </w:tcPr>
                <w:p w14:paraId="56B120A9">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1.8</w:t>
                  </w:r>
                </w:p>
              </w:tc>
              <w:tc>
                <w:tcPr>
                  <w:tcW w:w="924" w:type="dxa"/>
                  <w:noWrap w:val="0"/>
                  <w:vAlign w:val="center"/>
                </w:tcPr>
                <w:p w14:paraId="296B615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乳化油类，</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0.2t/桶</w:t>
                  </w:r>
                </w:p>
              </w:tc>
              <w:tc>
                <w:tcPr>
                  <w:tcW w:w="1138" w:type="dxa"/>
                  <w:noWrap w:val="0"/>
                  <w:vAlign w:val="center"/>
                </w:tcPr>
                <w:p w14:paraId="0D2D2217">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制梁场</w:t>
                  </w:r>
                </w:p>
              </w:tc>
              <w:tc>
                <w:tcPr>
                  <w:tcW w:w="729" w:type="dxa"/>
                  <w:noWrap w:val="0"/>
                  <w:vAlign w:val="center"/>
                </w:tcPr>
                <w:p w14:paraId="45A6A0C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36EFF22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2B52C4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79C36CA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93C725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2863B3F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钢绞线</w:t>
                  </w:r>
                </w:p>
              </w:tc>
              <w:tc>
                <w:tcPr>
                  <w:tcW w:w="1075" w:type="dxa"/>
                  <w:noWrap w:val="0"/>
                  <w:vAlign w:val="center"/>
                </w:tcPr>
                <w:p w14:paraId="512B638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1009" w:type="dxa"/>
                  <w:noWrap w:val="0"/>
                  <w:vAlign w:val="center"/>
                </w:tcPr>
                <w:p w14:paraId="3E481892">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158</w:t>
                  </w:r>
                </w:p>
              </w:tc>
              <w:tc>
                <w:tcPr>
                  <w:tcW w:w="924" w:type="dxa"/>
                  <w:noWrap w:val="0"/>
                  <w:vAlign w:val="center"/>
                </w:tcPr>
                <w:p w14:paraId="53683BCD">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固态</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直径15.2mm</w:t>
                  </w:r>
                </w:p>
              </w:tc>
              <w:tc>
                <w:tcPr>
                  <w:tcW w:w="1138" w:type="dxa"/>
                  <w:noWrap w:val="0"/>
                  <w:vAlign w:val="center"/>
                </w:tcPr>
                <w:p w14:paraId="2671975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制梁场</w:t>
                  </w:r>
                </w:p>
              </w:tc>
              <w:tc>
                <w:tcPr>
                  <w:tcW w:w="729" w:type="dxa"/>
                  <w:noWrap w:val="0"/>
                  <w:vAlign w:val="center"/>
                </w:tcPr>
                <w:p w14:paraId="2D5AF7D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1791AAD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49FE0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5E6FEDD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416B1EB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311357D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波纹管</w:t>
                  </w:r>
                </w:p>
              </w:tc>
              <w:tc>
                <w:tcPr>
                  <w:tcW w:w="1075" w:type="dxa"/>
                  <w:noWrap w:val="0"/>
                  <w:vAlign w:val="center"/>
                </w:tcPr>
                <w:p w14:paraId="5B3D305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w:t>
                  </w:r>
                </w:p>
              </w:tc>
              <w:tc>
                <w:tcPr>
                  <w:tcW w:w="1009" w:type="dxa"/>
                  <w:noWrap w:val="0"/>
                  <w:vAlign w:val="center"/>
                </w:tcPr>
                <w:p w14:paraId="287235DF">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64054</w:t>
                  </w:r>
                </w:p>
              </w:tc>
              <w:tc>
                <w:tcPr>
                  <w:tcW w:w="924" w:type="dxa"/>
                  <w:noWrap w:val="0"/>
                  <w:vAlign w:val="center"/>
                </w:tcPr>
                <w:p w14:paraId="02BF92F8">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55</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70</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80</w:t>
                  </w:r>
                </w:p>
              </w:tc>
              <w:tc>
                <w:tcPr>
                  <w:tcW w:w="1138" w:type="dxa"/>
                  <w:noWrap w:val="0"/>
                  <w:vAlign w:val="center"/>
                </w:tcPr>
                <w:p w14:paraId="3EDCCFF0">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制梁场</w:t>
                  </w:r>
                </w:p>
              </w:tc>
              <w:tc>
                <w:tcPr>
                  <w:tcW w:w="729" w:type="dxa"/>
                  <w:noWrap w:val="0"/>
                  <w:vAlign w:val="center"/>
                </w:tcPr>
                <w:p w14:paraId="25D9621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4086E11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35EC8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restart"/>
                  <w:noWrap w:val="0"/>
                  <w:vAlign w:val="center"/>
                </w:tcPr>
                <w:p w14:paraId="6265928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辅料</w:t>
                  </w:r>
                </w:p>
              </w:tc>
              <w:tc>
                <w:tcPr>
                  <w:tcW w:w="915" w:type="dxa"/>
                  <w:noWrap w:val="0"/>
                  <w:vAlign w:val="center"/>
                </w:tcPr>
                <w:p w14:paraId="4A2FE3C0">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絮凝剂</w:t>
                  </w:r>
                </w:p>
              </w:tc>
              <w:tc>
                <w:tcPr>
                  <w:tcW w:w="1075" w:type="dxa"/>
                  <w:noWrap w:val="0"/>
                  <w:vAlign w:val="center"/>
                </w:tcPr>
                <w:p w14:paraId="7574D57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1009" w:type="dxa"/>
                  <w:noWrap w:val="0"/>
                  <w:vAlign w:val="center"/>
                </w:tcPr>
                <w:p w14:paraId="331983C3">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924" w:type="dxa"/>
                  <w:noWrap w:val="0"/>
                  <w:vAlign w:val="center"/>
                </w:tcPr>
                <w:p w14:paraId="40724E51">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PAC、PAM</w:t>
                  </w:r>
                </w:p>
              </w:tc>
              <w:tc>
                <w:tcPr>
                  <w:tcW w:w="1138" w:type="dxa"/>
                  <w:noWrap w:val="0"/>
                  <w:vAlign w:val="center"/>
                </w:tcPr>
                <w:p w14:paraId="7F1DC929">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库房</w:t>
                  </w:r>
                </w:p>
              </w:tc>
              <w:tc>
                <w:tcPr>
                  <w:tcW w:w="729" w:type="dxa"/>
                  <w:noWrap w:val="0"/>
                  <w:vAlign w:val="center"/>
                </w:tcPr>
                <w:p w14:paraId="058F4E7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6F6197C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1ECFCF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continue"/>
                  <w:noWrap w:val="0"/>
                  <w:vAlign w:val="center"/>
                </w:tcPr>
                <w:p w14:paraId="668F759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29BCE2A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润滑</w:t>
                  </w:r>
                  <w:r>
                    <w:rPr>
                      <w:rFonts w:hint="default" w:ascii="Times New Roman" w:hAnsi="Times New Roman" w:eastAsia="宋体" w:cs="Times New Roman"/>
                      <w:color w:val="000000" w:themeColor="text1"/>
                      <w:sz w:val="21"/>
                      <w:szCs w:val="21"/>
                      <w:highlight w:val="none"/>
                      <w14:textFill>
                        <w14:solidFill>
                          <w14:schemeClr w14:val="tx1"/>
                        </w14:solidFill>
                      </w14:textFill>
                    </w:rPr>
                    <w:t>油</w:t>
                  </w:r>
                </w:p>
              </w:tc>
              <w:tc>
                <w:tcPr>
                  <w:tcW w:w="1075" w:type="dxa"/>
                  <w:noWrap w:val="0"/>
                  <w:vAlign w:val="center"/>
                </w:tcPr>
                <w:p w14:paraId="5A95820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2EB60698">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924" w:type="dxa"/>
                  <w:noWrap w:val="0"/>
                  <w:vAlign w:val="center"/>
                </w:tcPr>
                <w:p w14:paraId="68343F8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30EA43B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桶装</w:t>
                  </w:r>
                </w:p>
              </w:tc>
              <w:tc>
                <w:tcPr>
                  <w:tcW w:w="729" w:type="dxa"/>
                  <w:noWrap w:val="0"/>
                  <w:vAlign w:val="center"/>
                </w:tcPr>
                <w:p w14:paraId="41C294D3">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5297990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991B9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continue"/>
                  <w:noWrap w:val="0"/>
                  <w:vAlign w:val="center"/>
                </w:tcPr>
                <w:p w14:paraId="0910FFD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65FD875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柴油</w:t>
                  </w:r>
                </w:p>
              </w:tc>
              <w:tc>
                <w:tcPr>
                  <w:tcW w:w="1075" w:type="dxa"/>
                  <w:noWrap w:val="0"/>
                  <w:vAlign w:val="center"/>
                </w:tcPr>
                <w:p w14:paraId="78D40DB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1009" w:type="dxa"/>
                  <w:noWrap w:val="0"/>
                  <w:vAlign w:val="center"/>
                </w:tcPr>
                <w:p w14:paraId="23DD74F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若干</w:t>
                  </w:r>
                </w:p>
              </w:tc>
              <w:tc>
                <w:tcPr>
                  <w:tcW w:w="924" w:type="dxa"/>
                  <w:noWrap w:val="0"/>
                  <w:vAlign w:val="center"/>
                </w:tcPr>
                <w:p w14:paraId="1AA0E3F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693B645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不在厂区</w:t>
                  </w:r>
                </w:p>
                <w:p w14:paraId="5D27F9F0">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储存</w:t>
                  </w:r>
                </w:p>
              </w:tc>
              <w:tc>
                <w:tcPr>
                  <w:tcW w:w="729" w:type="dxa"/>
                  <w:noWrap w:val="0"/>
                  <w:vAlign w:val="center"/>
                </w:tcPr>
                <w:p w14:paraId="60CFADB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1106" w:type="dxa"/>
                  <w:noWrap w:val="0"/>
                  <w:vAlign w:val="center"/>
                </w:tcPr>
                <w:p w14:paraId="4C7D971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5A5DC5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restart"/>
                  <w:noWrap w:val="0"/>
                  <w:vAlign w:val="center"/>
                </w:tcPr>
                <w:p w14:paraId="723A836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能源</w:t>
                  </w:r>
                </w:p>
              </w:tc>
              <w:tc>
                <w:tcPr>
                  <w:tcW w:w="915" w:type="dxa"/>
                  <w:noWrap w:val="0"/>
                  <w:vAlign w:val="center"/>
                </w:tcPr>
                <w:p w14:paraId="38C358E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电力</w:t>
                  </w:r>
                </w:p>
              </w:tc>
              <w:tc>
                <w:tcPr>
                  <w:tcW w:w="1075" w:type="dxa"/>
                  <w:noWrap w:val="0"/>
                  <w:vAlign w:val="center"/>
                </w:tcPr>
                <w:p w14:paraId="05515E2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度/a</w:t>
                  </w:r>
                </w:p>
              </w:tc>
              <w:tc>
                <w:tcPr>
                  <w:tcW w:w="1009" w:type="dxa"/>
                  <w:noWrap w:val="0"/>
                  <w:vAlign w:val="center"/>
                </w:tcPr>
                <w:p w14:paraId="4C4A6199">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35</w:t>
                  </w:r>
                </w:p>
              </w:tc>
              <w:tc>
                <w:tcPr>
                  <w:tcW w:w="924" w:type="dxa"/>
                  <w:noWrap w:val="0"/>
                  <w:vAlign w:val="center"/>
                </w:tcPr>
                <w:p w14:paraId="1A26248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w:t>
                  </w:r>
                </w:p>
              </w:tc>
              <w:tc>
                <w:tcPr>
                  <w:tcW w:w="1138" w:type="dxa"/>
                  <w:noWrap w:val="0"/>
                  <w:vAlign w:val="center"/>
                </w:tcPr>
                <w:p w14:paraId="34D61BB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729" w:type="dxa"/>
                  <w:noWrap w:val="0"/>
                  <w:vAlign w:val="center"/>
                </w:tcPr>
                <w:p w14:paraId="57ED2C9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市政</w:t>
                  </w:r>
                </w:p>
                <w:p w14:paraId="51A8684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电网</w:t>
                  </w:r>
                </w:p>
              </w:tc>
              <w:tc>
                <w:tcPr>
                  <w:tcW w:w="1106" w:type="dxa"/>
                  <w:noWrap w:val="0"/>
                  <w:vAlign w:val="center"/>
                </w:tcPr>
                <w:p w14:paraId="0D4A4C0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电网连接</w:t>
                  </w:r>
                </w:p>
              </w:tc>
            </w:tr>
            <w:tr w14:paraId="7B4535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continue"/>
                  <w:noWrap w:val="0"/>
                  <w:vAlign w:val="center"/>
                </w:tcPr>
                <w:p w14:paraId="1ABACA7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3685710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水</w:t>
                  </w:r>
                </w:p>
              </w:tc>
              <w:tc>
                <w:tcPr>
                  <w:tcW w:w="1075" w:type="dxa"/>
                  <w:noWrap w:val="0"/>
                  <w:vAlign w:val="center"/>
                </w:tcPr>
                <w:p w14:paraId="3205119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w:t>
                  </w:r>
                  <w:r>
                    <w:rPr>
                      <w:rFonts w:hint="default" w:ascii="Times New Roman" w:hAnsi="Times New Roman" w:eastAsia="宋体" w:cs="Times New Roman"/>
                      <w:color w:val="000000" w:themeColor="text1"/>
                      <w:kern w:val="0"/>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/a</w:t>
                  </w:r>
                </w:p>
              </w:tc>
              <w:tc>
                <w:tcPr>
                  <w:tcW w:w="1009" w:type="dxa"/>
                  <w:noWrap w:val="0"/>
                  <w:vAlign w:val="center"/>
                </w:tcPr>
                <w:p w14:paraId="7D94F03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40921.5</w:t>
                  </w:r>
                </w:p>
              </w:tc>
              <w:tc>
                <w:tcPr>
                  <w:tcW w:w="924" w:type="dxa"/>
                  <w:noWrap w:val="0"/>
                  <w:vAlign w:val="center"/>
                </w:tcPr>
                <w:p w14:paraId="2215C16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1138" w:type="dxa"/>
                  <w:noWrap w:val="0"/>
                  <w:vAlign w:val="center"/>
                </w:tcPr>
                <w:p w14:paraId="7CA9E9D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729" w:type="dxa"/>
                  <w:noWrap w:val="0"/>
                  <w:vAlign w:val="center"/>
                </w:tcPr>
                <w:p w14:paraId="0C2ECB4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pPr>
                  <w: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t>市政</w:t>
                  </w:r>
                </w:p>
                <w:p w14:paraId="0A66333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t>管网</w:t>
                  </w:r>
                </w:p>
              </w:tc>
              <w:tc>
                <w:tcPr>
                  <w:tcW w:w="1106" w:type="dxa"/>
                  <w:noWrap w:val="0"/>
                  <w:vAlign w:val="center"/>
                </w:tcPr>
                <w:p w14:paraId="637F7F4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管道连接</w:t>
                  </w:r>
                </w:p>
              </w:tc>
            </w:tr>
          </w:tbl>
          <w:p w14:paraId="00CE521E">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firstLineChars="200"/>
              <w:textAlignment w:val="auto"/>
              <w:rPr>
                <w:rFonts w:ascii="宋体" w:hAnsi="宋体" w:eastAsia="宋体"/>
                <w:b/>
                <w:bCs/>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2、主要原</w:t>
            </w:r>
            <w:r>
              <w:rPr>
                <w:rFonts w:hint="eastAsia" w:ascii="宋体" w:hAnsi="宋体" w:eastAsia="宋体"/>
                <w:b/>
                <w:bCs/>
                <w:color w:val="000000" w:themeColor="text1"/>
                <w:sz w:val="24"/>
                <w:highlight w:val="none"/>
                <w14:textFill>
                  <w14:solidFill>
                    <w14:schemeClr w14:val="tx1"/>
                  </w14:solidFill>
                </w14:textFill>
              </w:rPr>
              <w:t>辅材料性质</w:t>
            </w:r>
          </w:p>
          <w:p w14:paraId="14DD4D3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14:textFill>
                  <w14:solidFill>
                    <w14:schemeClr w14:val="tx1"/>
                  </w14:solidFill>
                </w14:textFill>
              </w:rPr>
              <w:t>水泥：</w:t>
            </w:r>
            <w:r>
              <w:rPr>
                <w:rFonts w:hint="eastAsia" w:ascii="宋体" w:hAnsi="宋体" w:eastAsia="宋体"/>
                <w:color w:val="000000" w:themeColor="text1"/>
                <w:sz w:val="24"/>
                <w:highlight w:val="none"/>
                <w14:textFill>
                  <w14:solidFill>
                    <w14:schemeClr w14:val="tx1"/>
                  </w14:solidFill>
                </w14:textFill>
              </w:rPr>
              <w:t>水泥的种类繁多，按其矿物组成分为硅酸盐水泥、铝酸盐水泥、硫铝酸盐水泥、氟铝酸盐水泥、铁铝酸盐水泥以及少熟料或无熟料水泥等。而按其用途和性能又分为通用水泥、专用水泥和特种水泥三大类。在每一品种的水泥中，又根据其胶结强度的大小，而分为若干强度等级。不同的水泥品种及强度等级，其性能也有较大差异。</w:t>
            </w:r>
          </w:p>
          <w:p w14:paraId="508579A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粉煤灰：</w:t>
            </w:r>
            <w:r>
              <w:rPr>
                <w:rFonts w:ascii="Times New Roman" w:hAnsi="Times New Roman" w:eastAsia="宋体"/>
                <w:color w:val="000000" w:themeColor="text1"/>
                <w:sz w:val="24"/>
                <w:highlight w:val="none"/>
                <w14:textFill>
                  <w14:solidFill>
                    <w14:schemeClr w14:val="tx1"/>
                  </w14:solidFill>
                </w14:textFill>
              </w:rPr>
              <w:t>是从煤燃烧后的烟气中收捕下来的细灰，粉煤灰是燃煤电厂排出的主要固体废物。我国火电厂粉煤灰的主要氧化物组成为：SiO</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、Al</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O</w:t>
            </w:r>
            <w:r>
              <w:rPr>
                <w:rFonts w:ascii="Times New Roman" w:hAnsi="Times New Roman" w:eastAsia="宋体"/>
                <w:color w:val="000000" w:themeColor="text1"/>
                <w:sz w:val="24"/>
                <w:highlight w:val="none"/>
                <w:vertAlign w:val="subscript"/>
                <w14:textFill>
                  <w14:solidFill>
                    <w14:schemeClr w14:val="tx1"/>
                  </w14:solidFill>
                </w14:textFill>
              </w:rPr>
              <w:t>3</w:t>
            </w:r>
            <w:r>
              <w:rPr>
                <w:rFonts w:ascii="Times New Roman" w:hAnsi="Times New Roman" w:eastAsia="宋体"/>
                <w:color w:val="000000" w:themeColor="text1"/>
                <w:sz w:val="24"/>
                <w:highlight w:val="none"/>
                <w14:textFill>
                  <w14:solidFill>
                    <w14:schemeClr w14:val="tx1"/>
                  </w14:solidFill>
                </w14:textFill>
              </w:rPr>
              <w:t>、FeO、Fe</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O</w:t>
            </w:r>
            <w:r>
              <w:rPr>
                <w:rFonts w:ascii="Times New Roman" w:hAnsi="Times New Roman" w:eastAsia="宋体"/>
                <w:color w:val="000000" w:themeColor="text1"/>
                <w:sz w:val="24"/>
                <w:highlight w:val="none"/>
                <w:vertAlign w:val="subscript"/>
                <w14:textFill>
                  <w14:solidFill>
                    <w14:schemeClr w14:val="tx1"/>
                  </w14:solidFill>
                </w14:textFill>
              </w:rPr>
              <w:t>3</w:t>
            </w:r>
            <w:r>
              <w:rPr>
                <w:rFonts w:ascii="Times New Roman" w:hAnsi="Times New Roman" w:eastAsia="宋体"/>
                <w:color w:val="000000" w:themeColor="text1"/>
                <w:sz w:val="24"/>
                <w:highlight w:val="none"/>
                <w14:textFill>
                  <w14:solidFill>
                    <w14:schemeClr w14:val="tx1"/>
                  </w14:solidFill>
                </w14:textFill>
              </w:rPr>
              <w:t>、CaO、TiO</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等。粉煤灰是我国当前排量较大的工业废渣之一，随着电力工业的发展，燃煤电厂的粉煤灰排放量逐年增加。粉煤灰可作为混凝土的掺合料。</w:t>
            </w:r>
          </w:p>
          <w:p w14:paraId="03164E2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14:textFill>
                  <w14:solidFill>
                    <w14:schemeClr w14:val="tx1"/>
                  </w14:solidFill>
                </w14:textFill>
              </w:rPr>
              <w:t>外加剂（减水剂）：</w:t>
            </w:r>
            <w:r>
              <w:rPr>
                <w:rFonts w:hint="eastAsia" w:ascii="宋体" w:hAnsi="宋体" w:eastAsia="宋体"/>
                <w:color w:val="000000" w:themeColor="text1"/>
                <w:sz w:val="24"/>
                <w:highlight w:val="none"/>
                <w14:textFill>
                  <w14:solidFill>
                    <w14:schemeClr w14:val="tx1"/>
                  </w14:solidFill>
                </w14:textFill>
              </w:rPr>
              <w:t>拟建项目用到的外加剂主要为高效减水剂，其化学成分为萘磺酸盐甲醛缩合物、多环芳烃磺酸盐甲醛缩合物、三聚氰胺磺酸盐甲醛缩聚物、对胺基苯磺酸甲醛缩聚物、磺化酮醛缩聚物、聚丙烯酸盐及其接枝共聚物等。</w:t>
            </w:r>
          </w:p>
          <w:p w14:paraId="6C9555B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b/>
                <w:bCs/>
                <w:color w:val="000000" w:themeColor="text1"/>
                <w:sz w:val="24"/>
                <w:highlight w:val="none"/>
                <w:lang w:eastAsia="zh-CN"/>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脱模剂：</w:t>
            </w:r>
            <w:r>
              <w:rPr>
                <w:rFonts w:hint="eastAsia" w:ascii="宋体" w:hAnsi="宋体" w:eastAsia="宋体"/>
                <w:b w:val="0"/>
                <w:bCs w:val="0"/>
                <w:color w:val="000000" w:themeColor="text1"/>
                <w:sz w:val="24"/>
                <w:highlight w:val="none"/>
                <w:lang w:eastAsia="zh-CN"/>
                <w14:textFill>
                  <w14:solidFill>
                    <w14:schemeClr w14:val="tx1"/>
                  </w14:solidFill>
                </w14:textFill>
              </w:rPr>
              <w:t>混凝土浇注前涂抹在施工用模板上的一种物质，以使浇注后模板不致粘在混凝土表面上、不易拆模，或影响混凝土表面的光洁度。其主要作用为在模板与混凝土表面形成一层膜将两者隔离开故又称隔离剂。本项目使用为乳化油类隔离剂，使用石油润滑油，乳化剂、稳定剂配置而成。</w:t>
            </w:r>
          </w:p>
          <w:p w14:paraId="069820F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14:textFill>
                  <w14:solidFill>
                    <w14:schemeClr w14:val="tx1"/>
                  </w14:solidFill>
                </w14:textFill>
              </w:rPr>
              <w:t>矿物油：</w:t>
            </w:r>
            <w:r>
              <w:rPr>
                <w:rFonts w:hint="eastAsia" w:ascii="宋体" w:hAnsi="宋体" w:eastAsia="宋体"/>
                <w:color w:val="000000" w:themeColor="text1"/>
                <w:sz w:val="24"/>
                <w:highlight w:val="none"/>
                <w14:textFill>
                  <w14:solidFill>
                    <w14:schemeClr w14:val="tx1"/>
                  </w14:solidFill>
                </w14:textFill>
              </w:rPr>
              <w:t>矿物油是由是由所得精炼液态烃的混合物，为无色半透明油状液体，不溶于水、乙醇，用于预制件脱模润滑使用。矿物油中包含许多对人体有害的物质，人体肠胃很难吸收矿物油，一旦长期摄入矿物油含量超标或含有矿物油的食品就会引起人体消化系统的极大障碍。更严重的是人体误食工业用矿物油后会产生急性中毒和慢性中毒，破坏人体的各个细胞，进而造成神经系统的损坏，也可能导致呼吸功能衰竭。</w:t>
            </w:r>
          </w:p>
          <w:p w14:paraId="233A65E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olor w:val="000000" w:themeColor="text1"/>
                <w:sz w:val="24"/>
                <w:highlight w:val="none"/>
                <w:lang w:eastAsia="zh-CN"/>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焊条：</w:t>
            </w:r>
            <w:r>
              <w:rPr>
                <w:rFonts w:hint="eastAsia" w:ascii="宋体" w:hAnsi="宋体" w:eastAsia="宋体"/>
                <w:color w:val="000000" w:themeColor="text1"/>
                <w:sz w:val="24"/>
                <w:highlight w:val="none"/>
                <w:lang w:eastAsia="zh-CN"/>
                <w14:textFill>
                  <w14:solidFill>
                    <w14:schemeClr w14:val="tx1"/>
                  </w14:solidFill>
                </w14:textFill>
              </w:rPr>
              <w:t>本项目焊接原料为焊条，其主要成分为C、Mn，生产过程中所使用的焊条为无铅焊条，焊材检测报告见</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附件</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8</w:t>
            </w:r>
            <w:r>
              <w:rPr>
                <w:rFonts w:hint="eastAsia" w:ascii="宋体" w:hAnsi="宋体" w:eastAsia="宋体"/>
                <w:color w:val="000000" w:themeColor="text1"/>
                <w:sz w:val="24"/>
                <w:highlight w:val="none"/>
                <w:lang w:eastAsia="zh-CN"/>
                <w14:textFill>
                  <w14:solidFill>
                    <w14:schemeClr w14:val="tx1"/>
                  </w14:solidFill>
                </w14:textFill>
              </w:rPr>
              <w:t>。</w:t>
            </w:r>
          </w:p>
          <w:p w14:paraId="70E1E603">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七</w:t>
            </w:r>
            <w:r>
              <w:rPr>
                <w:rFonts w:hint="eastAsia" w:ascii="宋体" w:hAnsi="宋体" w:eastAsia="宋体"/>
                <w:b/>
                <w:bCs/>
                <w:color w:val="000000" w:themeColor="text1"/>
                <w:sz w:val="24"/>
                <w:highlight w:val="none"/>
                <w14:textFill>
                  <w14:solidFill>
                    <w14:schemeClr w14:val="tx1"/>
                  </w14:solidFill>
                </w14:textFill>
              </w:rPr>
              <w:t>、公用工程及辅助设施</w:t>
            </w:r>
          </w:p>
          <w:p w14:paraId="67E979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1、供电</w:t>
            </w:r>
          </w:p>
          <w:p w14:paraId="0FEAC65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用电由</w:t>
            </w:r>
            <w:r>
              <w:rPr>
                <w:rFonts w:hint="eastAsia" w:ascii="Times New Roman" w:hAnsi="Times New Roman" w:eastAsia="宋体"/>
                <w:color w:val="000000" w:themeColor="text1"/>
                <w:sz w:val="24"/>
                <w:highlight w:val="none"/>
                <w14:textFill>
                  <w14:solidFill>
                    <w14:schemeClr w14:val="tx1"/>
                  </w14:solidFill>
                </w14:textFill>
              </w:rPr>
              <w:t>市政电网供给</w:t>
            </w:r>
            <w:r>
              <w:rPr>
                <w:rFonts w:ascii="Times New Roman" w:hAnsi="Times New Roman" w:eastAsia="宋体"/>
                <w:color w:val="000000" w:themeColor="text1"/>
                <w:sz w:val="24"/>
                <w:highlight w:val="none"/>
                <w14:textFill>
                  <w14:solidFill>
                    <w14:schemeClr w14:val="tx1"/>
                  </w14:solidFill>
                </w14:textFill>
              </w:rPr>
              <w:t>，用电量约</w:t>
            </w:r>
            <w:r>
              <w:rPr>
                <w:rFonts w:hint="eastAsia" w:ascii="Times New Roman" w:hAnsi="Times New Roman" w:eastAsia="宋体"/>
                <w:color w:val="000000" w:themeColor="text1"/>
                <w:sz w:val="24"/>
                <w:highlight w:val="none"/>
                <w:lang w:val="en-US" w:eastAsia="zh-CN"/>
                <w14:textFill>
                  <w14:solidFill>
                    <w14:schemeClr w14:val="tx1"/>
                  </w14:solidFill>
                </w14:textFill>
              </w:rPr>
              <w:t>65</w:t>
            </w:r>
            <w:r>
              <w:rPr>
                <w:rFonts w:ascii="Times New Roman" w:hAnsi="Times New Roman" w:eastAsia="宋体"/>
                <w:color w:val="000000" w:themeColor="text1"/>
                <w:sz w:val="24"/>
                <w:highlight w:val="none"/>
                <w14:textFill>
                  <w14:solidFill>
                    <w14:schemeClr w14:val="tx1"/>
                  </w14:solidFill>
                </w14:textFill>
              </w:rPr>
              <w:t>万kW·h/a。</w:t>
            </w:r>
            <w:r>
              <w:rPr>
                <w:rFonts w:hint="eastAsia" w:ascii="Times New Roman" w:hAnsi="Times New Roman" w:eastAsia="宋体"/>
                <w:color w:val="000000" w:themeColor="text1"/>
                <w:sz w:val="24"/>
                <w:highlight w:val="none"/>
                <w14:textFill>
                  <w14:solidFill>
                    <w14:schemeClr w14:val="tx1"/>
                  </w14:solidFill>
                </w14:textFill>
              </w:rPr>
              <w:t>另本项目设置一座</w:t>
            </w:r>
            <w:r>
              <w:rPr>
                <w:rFonts w:hint="eastAsia" w:ascii="Times New Roman" w:hAnsi="Times New Roman" w:eastAsia="宋体"/>
                <w:color w:val="000000" w:themeColor="text1"/>
                <w:sz w:val="24"/>
                <w:highlight w:val="none"/>
                <w:lang w:val="en-US" w:eastAsia="zh-CN"/>
                <w14:textFill>
                  <w14:solidFill>
                    <w14:schemeClr w14:val="tx1"/>
                  </w14:solidFill>
                </w14:textFill>
              </w:rPr>
              <w:t>40</w:t>
            </w:r>
            <w:r>
              <w:rPr>
                <w:rFonts w:hint="eastAsia" w:ascii="Times New Roman" w:hAnsi="Times New Roman" w:eastAsia="宋体"/>
                <w:color w:val="000000" w:themeColor="text1"/>
                <w:sz w:val="24"/>
                <w:highlight w:val="none"/>
                <w14:textFill>
                  <w14:solidFill>
                    <w14:schemeClr w14:val="tx1"/>
                  </w14:solidFill>
                </w14:textFill>
              </w:rPr>
              <w:t>0KW备用柴油发电机。</w:t>
            </w:r>
          </w:p>
          <w:p w14:paraId="59864C1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2、供水</w:t>
            </w:r>
          </w:p>
          <w:p w14:paraId="2F9D463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生产用水</w:t>
            </w:r>
            <w:r>
              <w:rPr>
                <w:rFonts w:hint="eastAsia" w:ascii="Times New Roman" w:hAnsi="Times New Roman" w:eastAsia="宋体"/>
                <w:color w:val="000000" w:themeColor="text1"/>
                <w:sz w:val="24"/>
                <w:highlight w:val="none"/>
                <w:lang w:eastAsia="zh-CN"/>
                <w14:textFill>
                  <w14:solidFill>
                    <w14:schemeClr w14:val="tx1"/>
                  </w14:solidFill>
                </w14:textFill>
              </w:rPr>
              <w:t>、</w:t>
            </w:r>
            <w:r>
              <w:rPr>
                <w:rFonts w:hint="eastAsia" w:ascii="Times New Roman" w:hAnsi="Times New Roman" w:eastAsia="宋体"/>
                <w:color w:val="000000" w:themeColor="text1"/>
                <w:sz w:val="24"/>
                <w:highlight w:val="none"/>
                <w14:textFill>
                  <w14:solidFill>
                    <w14:schemeClr w14:val="tx1"/>
                  </w14:solidFill>
                </w14:textFill>
              </w:rPr>
              <w:t>生活用水</w:t>
            </w:r>
            <w:r>
              <w:rPr>
                <w:rFonts w:hint="eastAsia" w:ascii="Times New Roman" w:hAnsi="Times New Roman" w:eastAsia="宋体"/>
                <w:color w:val="000000" w:themeColor="text1"/>
                <w:sz w:val="24"/>
                <w:highlight w:val="none"/>
                <w:lang w:eastAsia="zh-CN"/>
                <w14:textFill>
                  <w14:solidFill>
                    <w14:schemeClr w14:val="tx1"/>
                  </w14:solidFill>
                </w14:textFill>
              </w:rPr>
              <w:t>均</w:t>
            </w:r>
            <w:r>
              <w:rPr>
                <w:rFonts w:hint="eastAsia" w:ascii="Times New Roman" w:hAnsi="Times New Roman" w:eastAsia="宋体"/>
                <w:color w:val="000000" w:themeColor="text1"/>
                <w:sz w:val="24"/>
                <w:highlight w:val="none"/>
                <w14:textFill>
                  <w14:solidFill>
                    <w14:schemeClr w14:val="tx1"/>
                  </w14:solidFill>
                </w14:textFill>
              </w:rPr>
              <w:t>取</w:t>
            </w:r>
            <w:r>
              <w:rPr>
                <w:rFonts w:hint="eastAsia" w:ascii="Times New Roman" w:hAnsi="Times New Roman" w:eastAsia="宋体"/>
                <w:color w:val="000000" w:themeColor="text1"/>
                <w:sz w:val="24"/>
                <w:highlight w:val="none"/>
                <w:lang w:eastAsia="zh-CN"/>
                <w14:textFill>
                  <w14:solidFill>
                    <w14:schemeClr w14:val="tx1"/>
                  </w14:solidFill>
                </w14:textFill>
              </w:rPr>
              <w:t>自</w:t>
            </w:r>
            <w:r>
              <w:rPr>
                <w:rFonts w:hint="eastAsia" w:ascii="Times New Roman" w:hAnsi="Times New Roman" w:eastAsia="宋体"/>
                <w:color w:val="000000" w:themeColor="text1"/>
                <w:sz w:val="24"/>
                <w:highlight w:val="none"/>
                <w14:textFill>
                  <w14:solidFill>
                    <w14:schemeClr w14:val="tx1"/>
                  </w14:solidFill>
                </w14:textFill>
              </w:rPr>
              <w:t>自来水。</w:t>
            </w:r>
          </w:p>
          <w:p w14:paraId="06033E0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本项目生产用水主要包括商品混凝土及砼构件生产用水、搅拌机冲洗用水、运输车辆冲洗用水、地坪冲洗用水、降尘用水</w:t>
            </w:r>
            <w:r>
              <w:rPr>
                <w:rFonts w:hint="eastAsia" w:ascii="Times New Roman" w:hAnsi="Times New Roman" w:eastAsia="宋体"/>
                <w:color w:val="000000" w:themeColor="text1"/>
                <w:sz w:val="24"/>
                <w:highlight w:val="none"/>
                <w:lang w:eastAsia="zh-CN"/>
                <w14:textFill>
                  <w14:solidFill>
                    <w14:schemeClr w14:val="tx1"/>
                  </w14:solidFill>
                </w14:textFill>
              </w:rPr>
              <w:t>、养护用水</w:t>
            </w:r>
            <w:r>
              <w:rPr>
                <w:rFonts w:hint="eastAsia" w:ascii="Times New Roman" w:hAnsi="Times New Roman" w:eastAsia="宋体"/>
                <w:color w:val="000000" w:themeColor="text1"/>
                <w:sz w:val="24"/>
                <w:highlight w:val="none"/>
                <w14:textFill>
                  <w14:solidFill>
                    <w14:schemeClr w14:val="tx1"/>
                  </w14:solidFill>
                </w14:textFill>
              </w:rPr>
              <w:t>以及人员生活用水，具体如下：</w:t>
            </w:r>
          </w:p>
          <w:p w14:paraId="76EB791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（1）商品混凝土生产用水</w:t>
            </w:r>
          </w:p>
          <w:p w14:paraId="7104C45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根据四川省人民政府关于印发《四川省用水定额》的通知（川府函【2021】8号）中表23 非金属矿物制品业用水定额表，用水定额如下：</w:t>
            </w:r>
          </w:p>
          <w:p w14:paraId="5942BC0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表2-</w:t>
            </w:r>
            <w:r>
              <w:rPr>
                <w:rFonts w:hint="eastAsia"/>
                <w:b/>
                <w:bCs/>
                <w:color w:val="000000" w:themeColor="text1"/>
                <w:szCs w:val="21"/>
                <w:highlight w:val="none"/>
                <w:lang w:val="en-US" w:eastAsia="zh-CN"/>
                <w14:textFill>
                  <w14:solidFill>
                    <w14:schemeClr w14:val="tx1"/>
                  </w14:solidFill>
                </w14:textFill>
              </w:rPr>
              <w:t>12</w:t>
            </w:r>
            <w:r>
              <w:rPr>
                <w:rFonts w:hint="eastAsia"/>
                <w:b/>
                <w:bCs/>
                <w:color w:val="000000" w:themeColor="text1"/>
                <w:szCs w:val="21"/>
                <w:highlight w:val="none"/>
                <w14:textFill>
                  <w14:solidFill>
                    <w14:schemeClr w14:val="tx1"/>
                  </w14:solidFill>
                </w14:textFill>
              </w:rPr>
              <w:t xml:space="preserve">     本项目商品混凝土及砼构件生产用水</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15"/>
              <w:gridCol w:w="1060"/>
              <w:gridCol w:w="965"/>
              <w:gridCol w:w="1170"/>
              <w:gridCol w:w="1034"/>
              <w:gridCol w:w="788"/>
              <w:gridCol w:w="1053"/>
              <w:gridCol w:w="1053"/>
            </w:tblGrid>
            <w:tr w14:paraId="1D6FFE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3659852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行业代码</w:t>
                  </w:r>
                </w:p>
              </w:tc>
              <w:tc>
                <w:tcPr>
                  <w:tcW w:w="659" w:type="pct"/>
                  <w:tcBorders>
                    <w:tl2br w:val="nil"/>
                    <w:tr2bl w:val="nil"/>
                  </w:tcBorders>
                  <w:vAlign w:val="center"/>
                </w:tcPr>
                <w:p w14:paraId="4681147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行业名称</w:t>
                  </w:r>
                </w:p>
              </w:tc>
              <w:tc>
                <w:tcPr>
                  <w:tcW w:w="600" w:type="pct"/>
                  <w:tcBorders>
                    <w:tl2br w:val="nil"/>
                    <w:tr2bl w:val="nil"/>
                  </w:tcBorders>
                  <w:vAlign w:val="center"/>
                </w:tcPr>
                <w:p w14:paraId="4A505C85">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定额代码</w:t>
                  </w:r>
                </w:p>
              </w:tc>
              <w:tc>
                <w:tcPr>
                  <w:tcW w:w="727" w:type="pct"/>
                  <w:tcBorders>
                    <w:tl2br w:val="nil"/>
                    <w:tr2bl w:val="nil"/>
                  </w:tcBorders>
                  <w:vAlign w:val="center"/>
                </w:tcPr>
                <w:p w14:paraId="03FCBD0D">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名称</w:t>
                  </w:r>
                </w:p>
              </w:tc>
              <w:tc>
                <w:tcPr>
                  <w:tcW w:w="643" w:type="pct"/>
                  <w:tcBorders>
                    <w:tl2br w:val="nil"/>
                    <w:tr2bl w:val="nil"/>
                  </w:tcBorders>
                  <w:vAlign w:val="center"/>
                </w:tcPr>
                <w:p w14:paraId="37AEE55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定额单位</w:t>
                  </w:r>
                </w:p>
              </w:tc>
              <w:tc>
                <w:tcPr>
                  <w:tcW w:w="490" w:type="pct"/>
                  <w:tcBorders>
                    <w:tl2br w:val="nil"/>
                    <w:tr2bl w:val="nil"/>
                  </w:tcBorders>
                  <w:vAlign w:val="center"/>
                </w:tcPr>
                <w:p w14:paraId="1C2774D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通用值</w:t>
                  </w:r>
                </w:p>
              </w:tc>
              <w:tc>
                <w:tcPr>
                  <w:tcW w:w="655" w:type="pct"/>
                  <w:tcBorders>
                    <w:tl2br w:val="nil"/>
                    <w:tr2bl w:val="nil"/>
                  </w:tcBorders>
                  <w:vAlign w:val="center"/>
                </w:tcPr>
                <w:p w14:paraId="374D4CBF">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产品产量</w:t>
                  </w:r>
                </w:p>
              </w:tc>
              <w:tc>
                <w:tcPr>
                  <w:tcW w:w="655" w:type="pct"/>
                  <w:tcBorders>
                    <w:tl2br w:val="nil"/>
                    <w:tr2bl w:val="nil"/>
                  </w:tcBorders>
                  <w:vAlign w:val="center"/>
                </w:tcPr>
                <w:p w14:paraId="1ED2981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用水量</w:t>
                  </w:r>
                </w:p>
              </w:tc>
            </w:tr>
            <w:tr w14:paraId="303308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2F45F735">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w:t>
                  </w:r>
                </w:p>
              </w:tc>
              <w:tc>
                <w:tcPr>
                  <w:tcW w:w="659" w:type="pct"/>
                  <w:tcBorders>
                    <w:tl2br w:val="nil"/>
                    <w:tr2bl w:val="nil"/>
                  </w:tcBorders>
                  <w:vAlign w:val="center"/>
                </w:tcPr>
                <w:p w14:paraId="181F03CE">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石膏、水泥制品及类似制品制造</w:t>
                  </w:r>
                </w:p>
              </w:tc>
              <w:tc>
                <w:tcPr>
                  <w:tcW w:w="600" w:type="pct"/>
                  <w:tcBorders>
                    <w:tl2br w:val="nil"/>
                    <w:tr2bl w:val="nil"/>
                  </w:tcBorders>
                  <w:vAlign w:val="center"/>
                </w:tcPr>
                <w:p w14:paraId="46FE08FB">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C3021</w:t>
                  </w:r>
                </w:p>
              </w:tc>
              <w:tc>
                <w:tcPr>
                  <w:tcW w:w="727" w:type="pct"/>
                  <w:tcBorders>
                    <w:tl2br w:val="nil"/>
                    <w:tr2bl w:val="nil"/>
                  </w:tcBorders>
                  <w:vAlign w:val="center"/>
                </w:tcPr>
                <w:p w14:paraId="7CEF089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商品混凝土</w:t>
                  </w:r>
                </w:p>
              </w:tc>
              <w:tc>
                <w:tcPr>
                  <w:tcW w:w="643" w:type="pct"/>
                  <w:tcBorders>
                    <w:tl2br w:val="nil"/>
                    <w:tr2bl w:val="nil"/>
                  </w:tcBorders>
                  <w:vAlign w:val="center"/>
                </w:tcPr>
                <w:p w14:paraId="4EF185E1">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p>
              </w:tc>
              <w:tc>
                <w:tcPr>
                  <w:tcW w:w="490" w:type="pct"/>
                  <w:tcBorders>
                    <w:tl2br w:val="nil"/>
                    <w:tr2bl w:val="nil"/>
                  </w:tcBorders>
                  <w:vAlign w:val="center"/>
                </w:tcPr>
                <w:p w14:paraId="603E125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0.4</w:t>
                  </w:r>
                </w:p>
              </w:tc>
              <w:tc>
                <w:tcPr>
                  <w:tcW w:w="655" w:type="pct"/>
                  <w:tcBorders>
                    <w:tl2br w:val="nil"/>
                    <w:tr2bl w:val="nil"/>
                  </w:tcBorders>
                  <w:vAlign w:val="center"/>
                </w:tcPr>
                <w:p w14:paraId="0EAE4D71">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混凝土</w:t>
                  </w:r>
                  <w:r>
                    <w:rPr>
                      <w:rFonts w:hint="eastAsia"/>
                      <w:color w:val="000000" w:themeColor="text1"/>
                      <w:szCs w:val="21"/>
                      <w:highlight w:val="none"/>
                      <w:lang w:val="en-US" w:eastAsia="zh-CN"/>
                      <w14:textFill>
                        <w14:solidFill>
                          <w14:schemeClr w14:val="tx1"/>
                        </w14:solidFill>
                      </w14:textFill>
                    </w:rPr>
                    <w:t>444</w:t>
                  </w:r>
                  <w:r>
                    <w:rPr>
                      <w:rFonts w:hint="eastAsia"/>
                      <w:color w:val="000000" w:themeColor="text1"/>
                      <w:szCs w:val="21"/>
                      <w:highlight w:val="none"/>
                      <w14:textFill>
                        <w14:solidFill>
                          <w14:schemeClr w14:val="tx1"/>
                        </w14:solidFill>
                      </w14:textFill>
                    </w:rPr>
                    <w:t>00m</w:t>
                  </w:r>
                  <w:r>
                    <w:rPr>
                      <w:rFonts w:hint="eastAsia"/>
                      <w:color w:val="000000" w:themeColor="text1"/>
                      <w:szCs w:val="21"/>
                      <w:highlight w:val="none"/>
                      <w:vertAlign w:val="superscript"/>
                      <w14:textFill>
                        <w14:solidFill>
                          <w14:schemeClr w14:val="tx1"/>
                        </w14:solidFill>
                      </w14:textFill>
                    </w:rPr>
                    <w:t>3</w:t>
                  </w:r>
                </w:p>
              </w:tc>
              <w:tc>
                <w:tcPr>
                  <w:tcW w:w="655" w:type="pct"/>
                  <w:tcBorders>
                    <w:tl2br w:val="nil"/>
                    <w:tr2bl w:val="nil"/>
                  </w:tcBorders>
                  <w:vAlign w:val="center"/>
                </w:tcPr>
                <w:p w14:paraId="114322CF">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lang w:val="en-US" w:eastAsia="zh-CN"/>
                      <w14:textFill>
                        <w14:solidFill>
                          <w14:schemeClr w14:val="tx1"/>
                        </w14:solidFill>
                      </w14:textFill>
                    </w:rPr>
                    <w:t>1776</w:t>
                  </w:r>
                  <w:r>
                    <w:rPr>
                      <w:rFonts w:hint="eastAsia"/>
                      <w:color w:val="000000" w:themeColor="text1"/>
                      <w:szCs w:val="21"/>
                      <w:highlight w:val="none"/>
                      <w14:textFill>
                        <w14:solidFill>
                          <w14:schemeClr w14:val="tx1"/>
                        </w14:solidFill>
                      </w14:textFill>
                    </w:rPr>
                    <w:t>0m</w:t>
                  </w:r>
                  <w:r>
                    <w:rPr>
                      <w:rFonts w:hint="eastAsia"/>
                      <w:color w:val="000000" w:themeColor="text1"/>
                      <w:szCs w:val="21"/>
                      <w:highlight w:val="none"/>
                      <w:vertAlign w:val="superscript"/>
                      <w14:textFill>
                        <w14:solidFill>
                          <w14:schemeClr w14:val="tx1"/>
                        </w14:solidFill>
                      </w14:textFill>
                    </w:rPr>
                    <w:t>3</w:t>
                  </w:r>
                </w:p>
              </w:tc>
            </w:tr>
          </w:tbl>
          <w:p w14:paraId="28376E76">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本项目混凝土生产总用水量为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17760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50.74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eastAsia="zh-CN"/>
                <w14:textFill>
                  <w14:solidFill>
                    <w14:schemeClr w14:val="tx1"/>
                  </w14:solidFill>
                </w14:textFill>
              </w:rPr>
              <w:t>。此用水部分进入产品，部分蒸发损耗，不产生生产废水。</w:t>
            </w:r>
          </w:p>
          <w:p w14:paraId="4436004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（2）搅拌机冲洗用水</w:t>
            </w:r>
          </w:p>
          <w:p w14:paraId="2BCB86F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搅拌主机为本项目的主要生产设备，一般情况下搅拌主机每天冲洗1次，根据建设单位提供资料，每台搅拌主机每次冲洗水用量为0.5m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/次，项目</w:t>
            </w:r>
            <w:r>
              <w:rPr>
                <w:rFonts w:hint="eastAsia" w:ascii="Times New Roman" w:hAnsi="Times New Roman" w:eastAsia="宋体"/>
                <w:color w:val="000000" w:themeColor="text1"/>
                <w:sz w:val="24"/>
                <w:szCs w:val="24"/>
                <w:highlight w:val="none"/>
                <w:lang w:eastAsia="zh-CN"/>
                <w14:textFill>
                  <w14:solidFill>
                    <w14:schemeClr w14:val="tx1"/>
                  </w14:solidFill>
                </w14:textFill>
              </w:rPr>
              <w:t>两</w:t>
            </w:r>
            <w:r>
              <w:rPr>
                <w:rFonts w:ascii="Times New Roman" w:hAnsi="Times New Roman" w:eastAsia="宋体"/>
                <w:color w:val="000000" w:themeColor="text1"/>
                <w:sz w:val="24"/>
                <w:szCs w:val="24"/>
                <w:highlight w:val="none"/>
                <w14:textFill>
                  <w14:solidFill>
                    <w14:schemeClr w14:val="tx1"/>
                  </w14:solidFill>
                </w14:textFill>
              </w:rPr>
              <w:t>套搅拌主机每天清洗用水量为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则搅拌机冲洗废水量为0.9</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334CD3A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混凝土罐车</w:t>
            </w:r>
            <w:r>
              <w:rPr>
                <w:rFonts w:hint="eastAsia" w:ascii="Times New Roman" w:hAnsi="Times New Roman" w:eastAsia="宋体"/>
                <w:color w:val="000000" w:themeColor="text1"/>
                <w:sz w:val="24"/>
                <w:szCs w:val="21"/>
                <w:highlight w:val="none"/>
                <w14:textFill>
                  <w14:solidFill>
                    <w14:schemeClr w14:val="tx1"/>
                  </w14:solidFill>
                </w14:textFill>
              </w:rPr>
              <w:t>冲洗用水</w:t>
            </w:r>
          </w:p>
          <w:p w14:paraId="49217A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本项目共设置1</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0</w:t>
            </w:r>
            <w:r>
              <w:rPr>
                <w:rFonts w:hint="eastAsia" w:ascii="Times New Roman" w:hAnsi="Times New Roman" w:eastAsia="宋体"/>
                <w:color w:val="000000" w:themeColor="text1"/>
                <w:sz w:val="24"/>
                <w:szCs w:val="24"/>
                <w:highlight w:val="none"/>
                <w14:textFill>
                  <w14:solidFill>
                    <w14:schemeClr w14:val="tx1"/>
                  </w14:solidFill>
                </w14:textFill>
              </w:rPr>
              <w:t>辆成品混凝土运输罐车，</w:t>
            </w:r>
            <w:r>
              <w:rPr>
                <w:rFonts w:ascii="Times New Roman" w:hAnsi="Times New Roman" w:eastAsia="宋体"/>
                <w:color w:val="000000" w:themeColor="text1"/>
                <w:sz w:val="24"/>
                <w:szCs w:val="24"/>
                <w:highlight w:val="none"/>
                <w14:textFill>
                  <w14:solidFill>
                    <w14:schemeClr w14:val="tx1"/>
                  </w14:solidFill>
                </w14:textFill>
              </w:rPr>
              <w:t>根据建设单位提供资料，</w:t>
            </w:r>
            <w:r>
              <w:rPr>
                <w:rFonts w:hint="default" w:ascii="Times New Roman" w:hAnsi="Times New Roman" w:eastAsia="宋体" w:cs="Times New Roman"/>
                <w:color w:val="000000" w:themeColor="text1"/>
                <w:sz w:val="24"/>
                <w:szCs w:val="22"/>
                <w:highlight w:val="none"/>
                <w14:textFill>
                  <w14:solidFill>
                    <w14:schemeClr w14:val="tx1"/>
                  </w14:solidFill>
                </w14:textFill>
              </w:rPr>
              <w:t>每</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辆罐车每天</w:t>
            </w:r>
            <w:r>
              <w:rPr>
                <w:rFonts w:hint="default" w:ascii="Times New Roman" w:hAnsi="Times New Roman" w:eastAsia="宋体" w:cs="Times New Roman"/>
                <w:color w:val="000000" w:themeColor="text1"/>
                <w:sz w:val="24"/>
                <w:szCs w:val="22"/>
                <w:highlight w:val="none"/>
                <w14:textFill>
                  <w14:solidFill>
                    <w14:schemeClr w14:val="tx1"/>
                  </w14:solidFill>
                </w14:textFill>
              </w:rPr>
              <w:t>冲洗1次，</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每次冲洗用水量约为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辆，</w:t>
            </w:r>
            <w:r>
              <w:rPr>
                <w:rFonts w:hint="eastAsia" w:ascii="Times New Roman" w:hAnsi="Times New Roman" w:eastAsia="宋体"/>
                <w:color w:val="000000" w:themeColor="text1"/>
                <w:sz w:val="24"/>
                <w:szCs w:val="24"/>
                <w:highlight w:val="none"/>
                <w:lang w:eastAsia="zh-CN"/>
                <w14:textFill>
                  <w14:solidFill>
                    <w14:schemeClr w14:val="tx1"/>
                  </w14:solidFill>
                </w14:textFill>
              </w:rPr>
              <w:t>则项目混凝土运输罐车</w:t>
            </w:r>
            <w:r>
              <w:rPr>
                <w:rFonts w:ascii="Times New Roman" w:hAnsi="Times New Roman" w:eastAsia="宋体"/>
                <w:color w:val="000000" w:themeColor="text1"/>
                <w:sz w:val="24"/>
                <w:szCs w:val="24"/>
                <w:highlight w:val="none"/>
                <w14:textFill>
                  <w14:solidFill>
                    <w14:schemeClr w14:val="tx1"/>
                  </w14:solidFill>
                </w14:textFill>
              </w:rPr>
              <w:t>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则搅拌机冲洗废水量为9</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3150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1E275E8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w:t>
            </w:r>
            <w:r>
              <w:rPr>
                <w:rFonts w:hint="eastAsia" w:ascii="Times New Roman" w:hAnsi="Times New Roman" w:eastAsia="宋体"/>
                <w:color w:val="000000" w:themeColor="text1"/>
                <w:sz w:val="24"/>
                <w:szCs w:val="21"/>
                <w:highlight w:val="none"/>
                <w14:textFill>
                  <w14:solidFill>
                    <w14:schemeClr w14:val="tx1"/>
                  </w14:solidFill>
                </w14:textFill>
              </w:rPr>
              <w:t>）养护</w:t>
            </w:r>
            <w:r>
              <w:rPr>
                <w:rFonts w:hint="eastAsia" w:ascii="Times New Roman" w:hAnsi="Times New Roman" w:eastAsia="宋体"/>
                <w:color w:val="000000" w:themeColor="text1"/>
                <w:sz w:val="24"/>
                <w:szCs w:val="21"/>
                <w:highlight w:val="none"/>
                <w:lang w:eastAsia="zh-CN"/>
                <w14:textFill>
                  <w14:solidFill>
                    <w14:schemeClr w14:val="tx1"/>
                  </w14:solidFill>
                </w14:textFill>
              </w:rPr>
              <w:t>用水</w:t>
            </w:r>
          </w:p>
          <w:p w14:paraId="21258E4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预制件</w:t>
            </w:r>
            <w:r>
              <w:rPr>
                <w:rFonts w:hint="eastAsia" w:ascii="Times New Roman" w:hAnsi="Times New Roman" w:eastAsia="宋体"/>
                <w:color w:val="000000" w:themeColor="text1"/>
                <w:sz w:val="24"/>
                <w:szCs w:val="21"/>
                <w:highlight w:val="none"/>
                <w:lang w:eastAsia="zh-CN"/>
                <w14:textFill>
                  <w14:solidFill>
                    <w14:schemeClr w14:val="tx1"/>
                  </w14:solidFill>
                </w14:textFill>
              </w:rPr>
              <w:t>除冬季外（约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250d</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养护采取喷雾方式进行洒水养护，一天用水量约为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共</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3750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冬季养护（约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100d</w:t>
            </w:r>
            <w:r>
              <w:rPr>
                <w:rFonts w:hint="eastAsia" w:ascii="Times New Roman" w:hAnsi="Times New Roman" w:eastAsia="宋体"/>
                <w:color w:val="000000" w:themeColor="text1"/>
                <w:sz w:val="24"/>
                <w:szCs w:val="21"/>
                <w:highlight w:val="none"/>
                <w:lang w:eastAsia="zh-CN"/>
                <w14:textFill>
                  <w14:solidFill>
                    <w14:schemeClr w14:val="tx1"/>
                  </w14:solidFill>
                </w14:textFill>
              </w:rPr>
              <w:t>）采用电加热蒸汽发生器为养护工段提供蒸汽，日运行</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10小时，项目蒸养工段蒸汽用量约15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/d，蒸汽发生器自带软水制备系统，软水制备率为75%，消耗新鲜水约20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/d，共2000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。养护用水90%</w:t>
            </w:r>
            <w:r>
              <w:rPr>
                <w:rFonts w:hint="eastAsia" w:ascii="Times New Roman" w:hAnsi="Times New Roman" w:eastAsia="宋体"/>
                <w:color w:val="000000" w:themeColor="text1"/>
                <w:sz w:val="24"/>
                <w:szCs w:val="24"/>
                <w:highlight w:val="none"/>
                <w:lang w:eastAsia="zh-CN"/>
                <w14:textFill>
                  <w14:solidFill>
                    <w14:schemeClr w14:val="tx1"/>
                  </w14:solidFill>
                </w14:textFill>
              </w:rPr>
              <w:t>蒸发损耗，</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10%产生冷凝水，冷凝水产生量为1.5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蒸汽发生器自带软水制备系统浓水产生约为5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p>
          <w:p w14:paraId="1B4195A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）运输车辆冲洗用水</w:t>
            </w:r>
          </w:p>
          <w:p w14:paraId="349889D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运输车辆包括：原辅料、生活物资及罐车等其他车辆。</w:t>
            </w:r>
          </w:p>
          <w:p w14:paraId="0BB27E6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①</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成品运输：</w:t>
            </w:r>
            <w:r>
              <w:rPr>
                <w:rFonts w:hint="default" w:ascii="Times New Roman" w:hAnsi="Times New Roman" w:eastAsia="宋体" w:cs="Times New Roman"/>
                <w:color w:val="000000" w:themeColor="text1"/>
                <w:sz w:val="24"/>
                <w:szCs w:val="22"/>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共配备混凝土运输罐车</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0辆</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，混凝土装载量为10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/车，本项目生产商品混凝土</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4440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其中3420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a通过混凝土罐车拉运至施工现场，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混凝土罐车</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15</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加工钢筋结构件2800t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其中118t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加工预制梁约288片</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/d。则本项目单日最多成品运输车次约为18</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185A6CB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②</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原料运输：</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84500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8</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；原料水泥、粉煤灰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年用量共计15200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t计算，</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水泥</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、粉煤灰运输车辆约为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其他钢筋等辅料单日最</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多</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运输车次为2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则本项目单日最多原料运输车次约为12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7635229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w:t>
            </w:r>
            <w:r>
              <w:rPr>
                <w:rFonts w:hint="eastAsia" w:ascii="Times New Roman" w:hAnsi="Times New Roman" w:eastAsia="宋体"/>
                <w:color w:val="000000" w:themeColor="text1"/>
                <w:sz w:val="24"/>
                <w:szCs w:val="21"/>
                <w:highlight w:val="none"/>
                <w14:textFill>
                  <w14:solidFill>
                    <w14:schemeClr w14:val="tx1"/>
                  </w14:solidFill>
                </w14:textFill>
              </w:rPr>
              <w:t>对进出车辆轮胎进行喷淋冲洗，避免带泥上路，减少扬尘产生。拌和站设置轮胎清洗机，参照《四川省用水定额》（川府函〔2021〕8号），载重汽车用水量为100L/（辆·次）</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则运输车辆冲洗用水量为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6.0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2100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则冲洗废水量为5.4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1890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1C77AE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6</w:t>
            </w:r>
            <w:r>
              <w:rPr>
                <w:rFonts w:hint="eastAsia" w:ascii="Times New Roman" w:hAnsi="Times New Roman" w:eastAsia="宋体"/>
                <w:color w:val="000000" w:themeColor="text1"/>
                <w:sz w:val="24"/>
                <w:szCs w:val="21"/>
                <w:highlight w:val="none"/>
                <w14:textFill>
                  <w14:solidFill>
                    <w14:schemeClr w14:val="tx1"/>
                  </w14:solidFill>
                </w14:textFill>
              </w:rPr>
              <w:t>）地坪冲洗用水</w:t>
            </w:r>
          </w:p>
          <w:p w14:paraId="7254C41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场站内车辆出入较为频繁，车辆从厂外携带大量的粉尘进入厂内，需定期对道路进行清扫。参照《四川省用水定额》（川府函〔2021〕8号），环境卫生城市道路冲洗用水量为2L/m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·d，冲洗地坪面积约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w:t>
            </w:r>
            <w:r>
              <w:rPr>
                <w:rFonts w:hint="eastAsia" w:ascii="Times New Roman" w:hAnsi="Times New Roman" w:eastAsia="宋体"/>
                <w:color w:val="000000" w:themeColor="text1"/>
                <w:sz w:val="24"/>
                <w:szCs w:val="21"/>
                <w:highlight w:val="none"/>
                <w14:textFill>
                  <w14:solidFill>
                    <w14:schemeClr w14:val="tx1"/>
                  </w14:solidFill>
                </w14:textFill>
              </w:rPr>
              <w:t>000m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，地坪冲洗用水量为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w:t>
            </w:r>
            <w:r>
              <w:rPr>
                <w:rFonts w:hint="eastAsia" w:ascii="Times New Roman" w:hAnsi="Times New Roman" w:eastAsia="宋体"/>
                <w:color w:val="000000" w:themeColor="text1"/>
                <w:sz w:val="24"/>
                <w:szCs w:val="21"/>
                <w:highlight w:val="none"/>
                <w14:textFill>
                  <w14:solidFill>
                    <w14:schemeClr w14:val="tx1"/>
                  </w14:solidFill>
                </w14:textFill>
              </w:rPr>
              <w:t>地坪冲洗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废水量为1.6</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560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762C754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w:t>
            </w:r>
            <w:r>
              <w:rPr>
                <w:rFonts w:hint="eastAsia" w:ascii="Times New Roman" w:hAnsi="Times New Roman" w:eastAsia="宋体"/>
                <w:color w:val="000000" w:themeColor="text1"/>
                <w:sz w:val="24"/>
                <w:szCs w:val="21"/>
                <w:highlight w:val="none"/>
                <w14:textFill>
                  <w14:solidFill>
                    <w14:schemeClr w14:val="tx1"/>
                  </w14:solidFill>
                </w14:textFill>
              </w:rPr>
              <w:t>）降尘用水</w:t>
            </w:r>
          </w:p>
          <w:p w14:paraId="6EB40C0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搅拌楼、</w:t>
            </w:r>
            <w:r>
              <w:rPr>
                <w:rFonts w:hint="default" w:ascii="Times New Roman" w:hAnsi="Times New Roman" w:eastAsia="宋体" w:cs="Times New Roman"/>
                <w:color w:val="000000" w:themeColor="text1"/>
                <w:sz w:val="24"/>
                <w:szCs w:val="24"/>
                <w:highlight w:val="none"/>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、皮带输送进料口</w:t>
            </w:r>
            <w:r>
              <w:rPr>
                <w:rFonts w:hint="default" w:ascii="Times New Roman" w:hAnsi="Times New Roman" w:eastAsia="宋体" w:cs="Times New Roman"/>
                <w:color w:val="000000" w:themeColor="text1"/>
                <w:sz w:val="24"/>
                <w:szCs w:val="24"/>
                <w:highlight w:val="none"/>
                <w14:textFill>
                  <w14:solidFill>
                    <w14:schemeClr w14:val="tx1"/>
                  </w14:solidFill>
                </w14:textFill>
              </w:rPr>
              <w:t>设置喷雾装置进</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行</w:t>
            </w:r>
            <w:r>
              <w:rPr>
                <w:rFonts w:hint="default" w:ascii="Times New Roman" w:hAnsi="Times New Roman" w:eastAsia="宋体" w:cs="Times New Roman"/>
                <w:color w:val="000000" w:themeColor="text1"/>
                <w:sz w:val="24"/>
                <w:szCs w:val="24"/>
                <w:highlight w:val="none"/>
                <w14:textFill>
                  <w14:solidFill>
                    <w14:schemeClr w14:val="tx1"/>
                  </w14:solidFill>
                </w14:textFill>
              </w:rPr>
              <w:t>除尘，同时厂区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设置除尘雾炮机</w:t>
            </w:r>
            <w:r>
              <w:rPr>
                <w:rFonts w:hint="default" w:ascii="Times New Roman" w:hAnsi="Times New Roman" w:eastAsia="宋体" w:cs="Times New Roman"/>
                <w:color w:val="000000" w:themeColor="text1"/>
                <w:sz w:val="24"/>
                <w:szCs w:val="24"/>
                <w:highlight w:val="none"/>
                <w14:textFill>
                  <w14:solidFill>
                    <w14:schemeClr w14:val="tx1"/>
                  </w14:solidFill>
                </w14:textFill>
              </w:rPr>
              <w:t>进行洒水抑尘，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设置洒水车进行道路抑尘。砂石料仓喷雾装置</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用水量约为0.0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内</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安装</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（共36个）</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每个搅拌楼内安装一个喷雾点（共2个），每个输送带进料口（共2个）处安装一</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每日开启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小时，</w:t>
            </w:r>
            <w:r>
              <w:rPr>
                <w:rFonts w:hint="default" w:ascii="Times New Roman" w:hAnsi="Times New Roman" w:eastAsia="宋体" w:cs="Times New Roman"/>
                <w:color w:val="000000" w:themeColor="text1"/>
                <w:sz w:val="24"/>
                <w:szCs w:val="24"/>
                <w:highlight w:val="none"/>
                <w14:textFill>
                  <w14:solidFill>
                    <w14:schemeClr w14:val="tx1"/>
                  </w14:solidFill>
                </w14:textFill>
              </w:rPr>
              <w:t>则抑尘用水约为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2800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）。厂区内共设置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除尘雾炮机，每台除尘雾炮机用水量约为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h，每日开启2小时，则雾炮机用水量为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2100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）。厂区内配备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辆洒水车，每日进行运输道路洒水抑尘，每辆洒水车用水量约为10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，则道路抑尘用水量为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场地内降尘用水量共计</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8400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，全部蒸发损耗。</w:t>
            </w:r>
          </w:p>
          <w:p w14:paraId="782A636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8</w:t>
            </w:r>
            <w:r>
              <w:rPr>
                <w:rFonts w:hint="eastAsia" w:ascii="Times New Roman" w:hAnsi="Times New Roman" w:eastAsia="宋体"/>
                <w:color w:val="000000" w:themeColor="text1"/>
                <w:sz w:val="24"/>
                <w:szCs w:val="21"/>
                <w:highlight w:val="none"/>
                <w14:textFill>
                  <w14:solidFill>
                    <w14:schemeClr w14:val="tx1"/>
                  </w14:solidFill>
                </w14:textFill>
              </w:rPr>
              <w:t>）生活用水</w:t>
            </w:r>
          </w:p>
          <w:p w14:paraId="7CFE6505">
            <w:pPr>
              <w:keepNext w:val="0"/>
              <w:keepLines w:val="0"/>
              <w:pageBreakBefore w:val="0"/>
              <w:widowControl w:val="0"/>
              <w:kinsoku/>
              <w:wordWrap w:val="0"/>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项目共有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75</w:t>
            </w:r>
            <w:r>
              <w:rPr>
                <w:rFonts w:hint="default" w:ascii="Times New Roman" w:hAnsi="Times New Roman" w:eastAsia="宋体" w:cs="Times New Roman"/>
                <w:color w:val="000000" w:themeColor="text1"/>
                <w:sz w:val="24"/>
                <w:szCs w:val="24"/>
                <w:highlight w:val="none"/>
                <w14:textFill>
                  <w14:solidFill>
                    <w14:schemeClr w14:val="tx1"/>
                  </w14:solidFill>
                </w14:textFill>
              </w:rPr>
              <w:t>名员工，均在项目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生活区</w:t>
            </w:r>
            <w:r>
              <w:rPr>
                <w:rFonts w:hint="default" w:ascii="Times New Roman" w:hAnsi="Times New Roman" w:eastAsia="宋体" w:cs="Times New Roman"/>
                <w:color w:val="000000" w:themeColor="text1"/>
                <w:sz w:val="24"/>
                <w:szCs w:val="24"/>
                <w:highlight w:val="none"/>
                <w14:textFill>
                  <w14:solidFill>
                    <w14:schemeClr w14:val="tx1"/>
                  </w14:solidFill>
                </w14:textFill>
              </w:rPr>
              <w:t>食宿</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w:t>
            </w:r>
            <w:r>
              <w:rPr>
                <w:rFonts w:hint="default" w:ascii="Times New Roman" w:hAnsi="Times New Roman" w:eastAsia="宋体" w:cs="Times New Roman"/>
                <w:color w:val="000000" w:themeColor="text1"/>
                <w:sz w:val="24"/>
                <w:highlight w:val="none"/>
                <w14:textFill>
                  <w14:solidFill>
                    <w14:schemeClr w14:val="tx1"/>
                  </w14:solidFill>
                </w14:textFill>
              </w:rPr>
              <w:t>《四川省用水定额》（川府函〔2021〕8号）制定的各项用水定额</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员工</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用水定额</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0L/人·d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14:textFill>
                  <w14:solidFill>
                    <w14:schemeClr w14:val="tx1"/>
                  </w14:solidFill>
                </w14:textFill>
              </w:rPr>
              <w:t>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故项目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1575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2.25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787.5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废水产生量按照用水量的0.8计算，则项目生活污水产生量约为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1260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630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AF3E76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2"/>
                <w:highlight w:val="none"/>
                <w:lang w:val="en-US" w:eastAsia="zh-CN"/>
                <w14:textFill>
                  <w14:solidFill>
                    <w14:schemeClr w14:val="tx1"/>
                  </w14:solidFill>
                </w14:textFill>
              </w:rPr>
              <w:t>综上所述，本项目用水量约为</w:t>
            </w:r>
            <w:r>
              <w:rPr>
                <w:rFonts w:hint="eastAsia" w:ascii="Times New Roman" w:hAnsi="Times New Roman" w:eastAsia="宋体" w:cs="Times New Roman"/>
                <w:b w:val="0"/>
                <w:bCs w:val="0"/>
                <w:color w:val="000000" w:themeColor="text1"/>
                <w:sz w:val="24"/>
                <w:szCs w:val="22"/>
                <w:highlight w:val="none"/>
                <w:lang w:val="en-US" w:eastAsia="zh-CN"/>
                <w14:textFill>
                  <w14:solidFill>
                    <w14:schemeClr w14:val="tx1"/>
                  </w14:solidFill>
                </w14:textFill>
              </w:rPr>
              <w:t>115.49</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冬季为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120.</w:t>
            </w:r>
            <w:r>
              <w:rPr>
                <w:rFonts w:hint="eastAsia" w:ascii="Times New Roman" w:hAnsi="Times New Roman" w:eastAsia="宋体" w:cs="Times New Roman"/>
                <w:b w:val="0"/>
                <w:bCs w:val="0"/>
                <w:color w:val="000000" w:themeColor="text1"/>
                <w:sz w:val="24"/>
                <w:szCs w:val="22"/>
                <w:highlight w:val="none"/>
                <w:lang w:val="en-US" w:eastAsia="zh-CN"/>
                <w14:textFill>
                  <w14:solidFill>
                    <w14:schemeClr w14:val="tx1"/>
                  </w14:solidFill>
                </w14:textFill>
              </w:rPr>
              <w:t>49</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4.092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万</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w:t>
            </w:r>
          </w:p>
          <w:p w14:paraId="5C783F8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3、排水</w:t>
            </w:r>
          </w:p>
          <w:p w14:paraId="3BC3175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b/>
                <w:bCs/>
                <w:color w:val="000000" w:themeColor="text1"/>
                <w:sz w:val="24"/>
                <w:highlight w:val="none"/>
                <w:lang w:eastAsia="zh-CN"/>
                <w14:textFill>
                  <w14:solidFill>
                    <w14:schemeClr w14:val="tx1"/>
                  </w14:solidFill>
                </w14:textFill>
              </w:rPr>
            </w:pPr>
            <w:r>
              <w:rPr>
                <w:rFonts w:hint="eastAsia" w:ascii="Times New Roman" w:hAnsi="Times New Roman" w:eastAsia="宋体"/>
                <w:b/>
                <w:bCs/>
                <w:color w:val="000000" w:themeColor="text1"/>
                <w:sz w:val="24"/>
                <w:highlight w:val="none"/>
                <w:lang w:eastAsia="zh-CN"/>
                <w14:textFill>
                  <w14:solidFill>
                    <w14:schemeClr w14:val="tx1"/>
                  </w14:solidFill>
                </w14:textFill>
              </w:rPr>
              <w:t>厂区内实行雨污分流制，场地外初期雨水经周边雨水沟导流排入周边雨水沟渠；场地内雨水井雨水沟收集后汇入雨水收集池，回用于生产；生产废水经处理后进行回用；生活污水经化粪池处理后由吸污车拉运进入宝梵污水处理厂。</w:t>
            </w:r>
          </w:p>
          <w:p w14:paraId="3C2C5A6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（1）生产废水</w:t>
            </w:r>
          </w:p>
          <w:p w14:paraId="65263EA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商品混凝土及砼构件：生产用水</w:t>
            </w:r>
            <w:r>
              <w:rPr>
                <w:rFonts w:hint="eastAsia" w:ascii="Times New Roman" w:hAnsi="Times New Roman" w:eastAsia="宋体"/>
                <w:color w:val="000000" w:themeColor="text1"/>
                <w:sz w:val="24"/>
                <w:szCs w:val="24"/>
                <w:highlight w:val="none"/>
                <w:lang w:eastAsia="zh-CN"/>
                <w14:textFill>
                  <w14:solidFill>
                    <w14:schemeClr w14:val="tx1"/>
                  </w14:solidFill>
                </w14:textFill>
              </w:rPr>
              <w:t>大部分进入产品，少量蒸发损耗</w:t>
            </w:r>
            <w:r>
              <w:rPr>
                <w:rFonts w:hint="eastAsia" w:ascii="Times New Roman" w:hAnsi="Times New Roman" w:eastAsia="宋体"/>
                <w:color w:val="000000" w:themeColor="text1"/>
                <w:sz w:val="24"/>
                <w:highlight w:val="none"/>
                <w14:textFill>
                  <w14:solidFill>
                    <w14:schemeClr w14:val="tx1"/>
                  </w14:solidFill>
                </w14:textFill>
              </w:rPr>
              <w:t>。</w:t>
            </w:r>
          </w:p>
          <w:p w14:paraId="39C75FD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搅拌机冲洗废水：</w:t>
            </w:r>
            <w:r>
              <w:rPr>
                <w:rFonts w:hint="eastAsia" w:ascii="Times New Roman" w:hAnsi="Times New Roman" w:eastAsia="宋体"/>
                <w:color w:val="000000" w:themeColor="text1"/>
                <w:sz w:val="24"/>
                <w:highlight w:val="none"/>
                <w14:textFill>
                  <w14:solidFill>
                    <w14:schemeClr w14:val="tx1"/>
                  </w14:solidFill>
                </w14:textFill>
              </w:rPr>
              <w:t>按用水量90%计，则废水量为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0.9</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5CE456F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混凝土罐车冲洗用水：</w:t>
            </w:r>
            <w:r>
              <w:rPr>
                <w:rFonts w:hint="eastAsia" w:ascii="Times New Roman" w:hAnsi="Times New Roman" w:eastAsia="宋体"/>
                <w:color w:val="000000" w:themeColor="text1"/>
                <w:sz w:val="24"/>
                <w:highlight w:val="none"/>
                <w14:textFill>
                  <w14:solidFill>
                    <w14:schemeClr w14:val="tx1"/>
                  </w14:solidFill>
                </w14:textFill>
              </w:rPr>
              <w:t>按用水量90%计，则废水量为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3150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3B41AFD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养护废水：</w:t>
            </w:r>
            <w:r>
              <w:rPr>
                <w:rFonts w:hint="eastAsia" w:ascii="Times New Roman" w:hAnsi="Times New Roman" w:eastAsia="宋体"/>
                <w:color w:val="000000" w:themeColor="text1"/>
                <w:sz w:val="24"/>
                <w:szCs w:val="21"/>
                <w:highlight w:val="none"/>
                <w:lang w:eastAsia="zh-CN"/>
                <w14:textFill>
                  <w14:solidFill>
                    <w14:schemeClr w14:val="tx1"/>
                  </w14:solidFill>
                </w14:textFill>
              </w:rPr>
              <w:t>冷凝水产生量按用水量</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10%计，</w:t>
            </w:r>
            <w:r>
              <w:rPr>
                <w:rFonts w:hint="eastAsia" w:ascii="Times New Roman" w:hAnsi="Times New Roman" w:eastAsia="宋体"/>
                <w:color w:val="000000" w:themeColor="text1"/>
                <w:sz w:val="24"/>
                <w:highlight w:val="none"/>
                <w14:textFill>
                  <w14:solidFill>
                    <w14:schemeClr w14:val="tx1"/>
                  </w14:solidFill>
                </w14:textFill>
              </w:rPr>
              <w:t>废水量为</w:t>
            </w:r>
            <w:r>
              <w:rPr>
                <w:rFonts w:hint="eastAsia" w:ascii="Times New Roman" w:hAnsi="Times New Roman" w:eastAsia="宋体"/>
                <w:color w:val="000000" w:themeColor="text1"/>
                <w:sz w:val="24"/>
                <w:highlight w:val="none"/>
                <w:lang w:val="en-US" w:eastAsia="zh-CN"/>
                <w14:textFill>
                  <w14:solidFill>
                    <w14:schemeClr w14:val="tx1"/>
                  </w14:solidFill>
                </w14:textFill>
              </w:rPr>
              <w:t>1.5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highlight w:val="none"/>
                <w14:textFill>
                  <w14:solidFill>
                    <w14:schemeClr w14:val="tx1"/>
                  </w14:solidFill>
                </w14:textFill>
              </w:rPr>
              <w:t>，</w:t>
            </w:r>
            <w:r>
              <w:rPr>
                <w:rFonts w:hint="eastAsia" w:ascii="Times New Roman" w:hAnsi="Times New Roman" w:eastAsia="宋体"/>
                <w:color w:val="000000" w:themeColor="text1"/>
                <w:sz w:val="24"/>
                <w:highlight w:val="none"/>
                <w:lang w:val="en-US" w:eastAsia="zh-CN"/>
                <w14:textFill>
                  <w14:solidFill>
                    <w14:schemeClr w14:val="tx1"/>
                  </w14:solidFill>
                </w14:textFill>
              </w:rPr>
              <w:t>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；冬季蒸养发生器软水制备率</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75%，浓水量为</w:t>
            </w:r>
            <w:r>
              <w:rPr>
                <w:rFonts w:hint="eastAsia" w:ascii="Times New Roman" w:hAnsi="Times New Roman" w:eastAsia="宋体"/>
                <w:color w:val="000000" w:themeColor="text1"/>
                <w:sz w:val="24"/>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highlight w:val="none"/>
                <w14:textFill>
                  <w14:solidFill>
                    <w14:schemeClr w14:val="tx1"/>
                  </w14:solidFill>
                </w14:textFill>
              </w:rPr>
              <w:t>，</w:t>
            </w:r>
            <w:r>
              <w:rPr>
                <w:rFonts w:hint="eastAsia" w:ascii="Times New Roman" w:hAnsi="Times New Roman" w:eastAsia="宋体"/>
                <w:color w:val="000000" w:themeColor="text1"/>
                <w:sz w:val="24"/>
                <w:highlight w:val="none"/>
                <w:lang w:val="en-US" w:eastAsia="zh-CN"/>
                <w14:textFill>
                  <w14:solidFill>
                    <w14:schemeClr w14:val="tx1"/>
                  </w14:solidFill>
                </w14:textFill>
              </w:rPr>
              <w:t>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1"/>
                <w:highlight w:val="none"/>
                <w14:textFill>
                  <w14:solidFill>
                    <w14:schemeClr w14:val="tx1"/>
                  </w14:solidFill>
                </w14:textFill>
              </w:rPr>
              <w:t>。</w:t>
            </w:r>
          </w:p>
          <w:p w14:paraId="19E371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运输车辆冲洗废水：</w:t>
            </w:r>
            <w:r>
              <w:rPr>
                <w:rFonts w:hint="eastAsia" w:ascii="Times New Roman" w:hAnsi="Times New Roman" w:eastAsia="宋体"/>
                <w:color w:val="000000" w:themeColor="text1"/>
                <w:sz w:val="24"/>
                <w:highlight w:val="none"/>
                <w14:textFill>
                  <w14:solidFill>
                    <w14:schemeClr w14:val="tx1"/>
                  </w14:solidFill>
                </w14:textFill>
              </w:rPr>
              <w:t>按用水量90%计，则废水量为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1890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p>
          <w:p w14:paraId="792C80E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地坪冲洗废水：</w:t>
            </w:r>
            <w:r>
              <w:rPr>
                <w:rFonts w:hint="eastAsia" w:ascii="Times New Roman" w:hAnsi="Times New Roman" w:eastAsia="宋体"/>
                <w:color w:val="000000" w:themeColor="text1"/>
                <w:sz w:val="24"/>
                <w:highlight w:val="none"/>
                <w14:textFill>
                  <w14:solidFill>
                    <w14:schemeClr w14:val="tx1"/>
                  </w14:solidFill>
                </w14:textFill>
              </w:rPr>
              <w:t>按用水量80%计，则废水量为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560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p>
          <w:p w14:paraId="2BE2A61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降尘用水：全部蒸发损失。</w:t>
            </w:r>
          </w:p>
          <w:p w14:paraId="594EEAE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（2）生活污水</w:t>
            </w:r>
          </w:p>
          <w:p w14:paraId="498D19D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630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，经食堂内设置油水分离器</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有效</w:t>
            </w:r>
            <w:r>
              <w:rPr>
                <w:rFonts w:hint="default" w:ascii="Times New Roman" w:hAnsi="Times New Roman" w:eastAsia="宋体" w:cs="Times New Roman"/>
                <w:color w:val="000000" w:themeColor="text1"/>
                <w:sz w:val="24"/>
                <w:szCs w:val="24"/>
                <w:highlight w:val="none"/>
                <w14:textFill>
                  <w14:solidFill>
                    <w14:schemeClr w14:val="tx1"/>
                  </w14:solidFill>
                </w14:textFill>
              </w:rPr>
              <w:t>容积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除油后排入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则生活污水量为5.4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1890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（含经隔油处理餐饮废水）</w:t>
            </w:r>
            <w:r>
              <w:rPr>
                <w:rFonts w:hint="eastAsia" w:ascii="Times New Roman" w:hAnsi="Times New Roman" w:eastAsia="宋体"/>
                <w:color w:val="000000" w:themeColor="text1"/>
                <w:sz w:val="24"/>
                <w:szCs w:val="24"/>
                <w:highlight w:val="none"/>
                <w:lang w:eastAsia="zh-CN"/>
                <w14:textFill>
                  <w14:solidFill>
                    <w14:schemeClr w14:val="tx1"/>
                  </w14:solidFill>
                </w14:textFill>
              </w:rPr>
              <w:t>，全部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有效</w:t>
            </w:r>
            <w:r>
              <w:rPr>
                <w:rFonts w:hint="default" w:ascii="Times New Roman" w:hAnsi="Times New Roman" w:eastAsia="宋体" w:cs="Times New Roman"/>
                <w:color w:val="000000" w:themeColor="text1"/>
                <w:sz w:val="24"/>
                <w:szCs w:val="24"/>
                <w:highlight w:val="none"/>
                <w14:textFill>
                  <w14:solidFill>
                    <w14:schemeClr w14:val="tx1"/>
                  </w14:solidFill>
                </w14:textFill>
              </w:rPr>
              <w:t>容积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0m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由吸污车拉运至</w:t>
            </w:r>
            <w:r>
              <w:rPr>
                <w:rFonts w:hint="default" w:ascii="Times New Roman" w:hAnsi="Times New Roman" w:eastAsia="宋体" w:cs="Times New Roman"/>
                <w:color w:val="000000" w:themeColor="text1"/>
                <w:sz w:val="24"/>
                <w:szCs w:val="24"/>
                <w:highlight w:val="none"/>
                <w14:textFill>
                  <w14:solidFill>
                    <w14:schemeClr w14:val="tx1"/>
                  </w14:solidFill>
                </w14:textFill>
              </w:rPr>
              <w:t>宝梵污水处理厂。</w:t>
            </w:r>
          </w:p>
          <w:p w14:paraId="73678EB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（3）初期雨水</w:t>
            </w:r>
          </w:p>
          <w:p w14:paraId="3CEB38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根据第四章废水部分，雨水量为</w:t>
            </w:r>
            <w:r>
              <w:rPr>
                <w:rFonts w:hint="eastAsia" w:ascii="Times New Roman" w:hAnsi="Times New Roman" w:eastAsia="宋体"/>
                <w:color w:val="000000" w:themeColor="text1"/>
                <w:sz w:val="24"/>
                <w:highlight w:val="none"/>
                <w:lang w:val="en-US" w:eastAsia="zh-CN"/>
                <w14:textFill>
                  <w14:solidFill>
                    <w14:schemeClr w14:val="tx1"/>
                  </w14:solidFill>
                </w14:textFill>
              </w:rPr>
              <w:t>180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/次，全部进入</w:t>
            </w:r>
            <w:r>
              <w:rPr>
                <w:rFonts w:hint="eastAsia" w:ascii="Times New Roman" w:hAnsi="Times New Roman" w:eastAsia="宋体"/>
                <w:color w:val="000000" w:themeColor="text1"/>
                <w:sz w:val="24"/>
                <w:szCs w:val="21"/>
                <w:highlight w:val="none"/>
                <w:lang w:eastAsia="zh-CN"/>
                <w14:textFill>
                  <w14:solidFill>
                    <w14:schemeClr w14:val="tx1"/>
                  </w14:solidFill>
                </w14:textFill>
              </w:rPr>
              <w:t>雨水收集池</w:t>
            </w:r>
            <w:r>
              <w:rPr>
                <w:rFonts w:hint="eastAsia" w:ascii="Times New Roman" w:hAnsi="Times New Roman" w:eastAsia="宋体"/>
                <w:color w:val="000000" w:themeColor="text1"/>
                <w:sz w:val="24"/>
                <w:szCs w:val="21"/>
                <w:highlight w:val="none"/>
                <w14:textFill>
                  <w14:solidFill>
                    <w14:schemeClr w14:val="tx1"/>
                  </w14:solidFill>
                </w14:textFill>
              </w:rPr>
              <w:t>中，经沉淀处理后回用于厂区</w:t>
            </w:r>
            <w:r>
              <w:rPr>
                <w:rFonts w:hint="eastAsia" w:ascii="Times New Roman" w:hAnsi="Times New Roman" w:eastAsia="宋体"/>
                <w:color w:val="000000" w:themeColor="text1"/>
                <w:sz w:val="24"/>
                <w:szCs w:val="21"/>
                <w:highlight w:val="none"/>
                <w:lang w:eastAsia="zh-CN"/>
                <w14:textFill>
                  <w14:solidFill>
                    <w14:schemeClr w14:val="tx1"/>
                  </w14:solidFill>
                </w14:textFill>
              </w:rPr>
              <w:t>生产用水</w:t>
            </w:r>
            <w:r>
              <w:rPr>
                <w:rFonts w:hint="eastAsia" w:ascii="Times New Roman" w:hAnsi="Times New Roman" w:eastAsia="宋体"/>
                <w:color w:val="000000" w:themeColor="text1"/>
                <w:sz w:val="24"/>
                <w:szCs w:val="21"/>
                <w:highlight w:val="none"/>
                <w14:textFill>
                  <w14:solidFill>
                    <w14:schemeClr w14:val="tx1"/>
                  </w14:solidFill>
                </w14:textFill>
              </w:rPr>
              <w:t>，不外排。</w:t>
            </w:r>
          </w:p>
          <w:p w14:paraId="7388D53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right"/>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13 </w:t>
            </w:r>
            <w:r>
              <w:rPr>
                <w:rFonts w:ascii="Times New Roman" w:hAnsi="Times New Roman" w:eastAsia="宋体"/>
                <w:b/>
                <w:bCs/>
                <w:color w:val="000000" w:themeColor="text1"/>
                <w:szCs w:val="21"/>
                <w:highlight w:val="none"/>
                <w14:textFill>
                  <w14:solidFill>
                    <w14:schemeClr w14:val="tx1"/>
                  </w14:solidFill>
                </w14:textFill>
              </w:rPr>
              <w:t xml:space="preserve">   本项目用水与排水情况表</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单位：m</w:t>
            </w:r>
            <w:r>
              <w:rPr>
                <w:rFonts w:hint="eastAsia" w:ascii="Times New Roman" w:hAnsi="Times New Roman" w:eastAsia="宋体"/>
                <w:b/>
                <w:bCs/>
                <w:color w:val="000000" w:themeColor="text1"/>
                <w:szCs w:val="21"/>
                <w:highlight w:val="none"/>
                <w:vertAlign w:val="superscript"/>
                <w14:textFill>
                  <w14:solidFill>
                    <w14:schemeClr w14:val="tx1"/>
                  </w14:solidFill>
                </w14:textFill>
              </w:rPr>
              <w:t>3</w:t>
            </w:r>
            <w:r>
              <w:rPr>
                <w:rFonts w:hint="eastAsia" w:ascii="Times New Roman" w:hAnsi="Times New Roman" w:eastAsia="宋体"/>
                <w:b/>
                <w:bCs/>
                <w:color w:val="000000" w:themeColor="text1"/>
                <w:szCs w:val="21"/>
                <w:highlight w:val="none"/>
                <w14:textFill>
                  <w14:solidFill>
                    <w14:schemeClr w14:val="tx1"/>
                  </w14:solidFill>
                </w14:textFill>
              </w:rPr>
              <w:t>/d</w:t>
            </w:r>
          </w:p>
          <w:tbl>
            <w:tblPr>
              <w:tblStyle w:val="21"/>
              <w:tblW w:w="4962" w:type="pct"/>
              <w:jc w:val="center"/>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4"/>
              <w:gridCol w:w="529"/>
              <w:gridCol w:w="1016"/>
              <w:gridCol w:w="1142"/>
              <w:gridCol w:w="1029"/>
              <w:gridCol w:w="698"/>
              <w:gridCol w:w="1100"/>
              <w:gridCol w:w="1897"/>
            </w:tblGrid>
            <w:tr w14:paraId="0226C608">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tcBorders>
                    <w:top w:val="single" w:color="auto" w:sz="12" w:space="0"/>
                  </w:tcBorders>
                  <w:vAlign w:val="center"/>
                </w:tcPr>
                <w:p w14:paraId="620F17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968" w:type="pct"/>
                  <w:gridSpan w:val="2"/>
                  <w:tcBorders>
                    <w:top w:val="single" w:color="auto" w:sz="12" w:space="0"/>
                  </w:tcBorders>
                  <w:vAlign w:val="center"/>
                </w:tcPr>
                <w:p w14:paraId="7E376E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用水类别</w:t>
                  </w:r>
                </w:p>
              </w:tc>
              <w:tc>
                <w:tcPr>
                  <w:tcW w:w="716" w:type="pct"/>
                  <w:tcBorders>
                    <w:top w:val="single" w:color="auto" w:sz="12" w:space="0"/>
                  </w:tcBorders>
                  <w:vAlign w:val="center"/>
                </w:tcPr>
                <w:p w14:paraId="001581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用水标准</w:t>
                  </w:r>
                </w:p>
              </w:tc>
              <w:tc>
                <w:tcPr>
                  <w:tcW w:w="645" w:type="pct"/>
                  <w:tcBorders>
                    <w:top w:val="single" w:color="auto" w:sz="12" w:space="0"/>
                  </w:tcBorders>
                  <w:vAlign w:val="center"/>
                </w:tcPr>
                <w:p w14:paraId="7486B4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规模</w:t>
                  </w:r>
                </w:p>
              </w:tc>
              <w:tc>
                <w:tcPr>
                  <w:tcW w:w="437" w:type="pct"/>
                  <w:tcBorders>
                    <w:top w:val="single" w:color="auto" w:sz="12" w:space="0"/>
                  </w:tcBorders>
                  <w:vAlign w:val="center"/>
                </w:tcPr>
                <w:p w14:paraId="4A6883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用水量</w:t>
                  </w:r>
                </w:p>
              </w:tc>
              <w:tc>
                <w:tcPr>
                  <w:tcW w:w="689" w:type="pct"/>
                  <w:tcBorders>
                    <w:top w:val="single" w:color="auto" w:sz="12" w:space="0"/>
                  </w:tcBorders>
                  <w:vAlign w:val="center"/>
                </w:tcPr>
                <w:p w14:paraId="296320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产污系数</w:t>
                  </w:r>
                </w:p>
              </w:tc>
              <w:tc>
                <w:tcPr>
                  <w:tcW w:w="1189" w:type="pct"/>
                  <w:tcBorders>
                    <w:top w:val="single" w:color="auto" w:sz="12" w:space="0"/>
                    <w:right w:val="nil"/>
                  </w:tcBorders>
                  <w:vAlign w:val="center"/>
                </w:tcPr>
                <w:p w14:paraId="6BD0C0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排水量</w:t>
                  </w:r>
                </w:p>
              </w:tc>
            </w:tr>
            <w:tr w14:paraId="65C7B488">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Align w:val="center"/>
                </w:tcPr>
                <w:p w14:paraId="15954D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968" w:type="pct"/>
                  <w:gridSpan w:val="2"/>
                  <w:vAlign w:val="center"/>
                </w:tcPr>
                <w:p w14:paraId="54BECD2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混凝土生产</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用水</w:t>
                  </w:r>
                </w:p>
              </w:tc>
              <w:tc>
                <w:tcPr>
                  <w:tcW w:w="716" w:type="pct"/>
                  <w:vAlign w:val="center"/>
                </w:tcPr>
                <w:p w14:paraId="68C22E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0.4m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p>
              </w:tc>
              <w:tc>
                <w:tcPr>
                  <w:tcW w:w="645" w:type="pct"/>
                  <w:vAlign w:val="center"/>
                </w:tcPr>
                <w:p w14:paraId="41AE16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混凝土约126.86</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d</w:t>
                  </w:r>
                </w:p>
              </w:tc>
              <w:tc>
                <w:tcPr>
                  <w:tcW w:w="437" w:type="pct"/>
                  <w:vAlign w:val="center"/>
                </w:tcPr>
                <w:p w14:paraId="7B3AEF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50.74</w:t>
                  </w:r>
                </w:p>
              </w:tc>
              <w:tc>
                <w:tcPr>
                  <w:tcW w:w="689" w:type="pct"/>
                  <w:vAlign w:val="center"/>
                </w:tcPr>
                <w:p w14:paraId="516DB8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5B491A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部分进入产品，</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部分</w:t>
                  </w:r>
                  <w:r>
                    <w:rPr>
                      <w:rFonts w:hint="default" w:ascii="Times New Roman" w:hAnsi="Times New Roman" w:eastAsia="宋体" w:cs="Times New Roman"/>
                      <w:color w:val="000000" w:themeColor="text1"/>
                      <w:sz w:val="21"/>
                      <w:szCs w:val="21"/>
                      <w:highlight w:val="none"/>
                      <w14:textFill>
                        <w14:solidFill>
                          <w14:schemeClr w14:val="tx1"/>
                        </w14:solidFill>
                      </w14:textFill>
                    </w:rPr>
                    <w:t>蒸发损耗</w:t>
                  </w:r>
                </w:p>
              </w:tc>
            </w:tr>
            <w:tr w14:paraId="3F01BA6B">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Align w:val="center"/>
                </w:tcPr>
                <w:p w14:paraId="7C25FC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968" w:type="pct"/>
                  <w:gridSpan w:val="2"/>
                  <w:vAlign w:val="center"/>
                </w:tcPr>
                <w:p w14:paraId="60D931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搅拌机冲洗</w:t>
                  </w:r>
                </w:p>
              </w:tc>
              <w:tc>
                <w:tcPr>
                  <w:tcW w:w="716" w:type="pct"/>
                  <w:vAlign w:val="center"/>
                </w:tcPr>
                <w:p w14:paraId="0E1A8F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0.5m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台·</w:t>
                  </w:r>
                  <w:r>
                    <w:rPr>
                      <w:rFonts w:hint="default" w:ascii="Times New Roman" w:hAnsi="Times New Roman" w:eastAsia="宋体" w:cs="Times New Roman"/>
                      <w:color w:val="000000" w:themeColor="text1"/>
                      <w:sz w:val="21"/>
                      <w:szCs w:val="21"/>
                      <w:highlight w:val="none"/>
                      <w14:textFill>
                        <w14:solidFill>
                          <w14:schemeClr w14:val="tx1"/>
                        </w14:solidFill>
                      </w14:textFill>
                    </w:rPr>
                    <w:t>次</w:t>
                  </w:r>
                </w:p>
              </w:tc>
              <w:tc>
                <w:tcPr>
                  <w:tcW w:w="645" w:type="pct"/>
                  <w:vAlign w:val="center"/>
                </w:tcPr>
                <w:p w14:paraId="605A1B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2台·</w:t>
                  </w:r>
                  <w:r>
                    <w:rPr>
                      <w:rFonts w:hint="default" w:ascii="Times New Roman" w:hAnsi="Times New Roman" w:eastAsia="宋体" w:cs="Times New Roman"/>
                      <w:color w:val="000000" w:themeColor="text1"/>
                      <w:sz w:val="21"/>
                      <w:szCs w:val="21"/>
                      <w:highlight w:val="none"/>
                      <w14:textFill>
                        <w14:solidFill>
                          <w14:schemeClr w14:val="tx1"/>
                        </w14:solidFill>
                      </w14:textFill>
                    </w:rPr>
                    <w:t>次/</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d</w:t>
                  </w:r>
                </w:p>
              </w:tc>
              <w:tc>
                <w:tcPr>
                  <w:tcW w:w="437" w:type="pct"/>
                  <w:vAlign w:val="center"/>
                </w:tcPr>
                <w:p w14:paraId="6114C9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689" w:type="pct"/>
                  <w:vAlign w:val="center"/>
                </w:tcPr>
                <w:p w14:paraId="0B79A2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0.9</w:t>
                  </w:r>
                </w:p>
              </w:tc>
              <w:tc>
                <w:tcPr>
                  <w:tcW w:w="1189" w:type="pct"/>
                  <w:tcBorders>
                    <w:right w:val="nil"/>
                  </w:tcBorders>
                  <w:vAlign w:val="center"/>
                </w:tcPr>
                <w:p w14:paraId="09E3FA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0.9；砂石分离器→五级沉淀池→回用于降尘，不外排。</w:t>
                  </w:r>
                </w:p>
              </w:tc>
            </w:tr>
            <w:tr w14:paraId="5FAE1E9C">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Align w:val="center"/>
                </w:tcPr>
                <w:p w14:paraId="2A8DA9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968" w:type="pct"/>
                  <w:gridSpan w:val="2"/>
                  <w:vAlign w:val="center"/>
                </w:tcPr>
                <w:p w14:paraId="2265700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混凝土罐车冲洗</w:t>
                  </w:r>
                </w:p>
              </w:tc>
              <w:tc>
                <w:tcPr>
                  <w:tcW w:w="716" w:type="pct"/>
                  <w:vAlign w:val="center"/>
                </w:tcPr>
                <w:p w14:paraId="7C59E7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辆·d</w:t>
                  </w:r>
                </w:p>
              </w:tc>
              <w:tc>
                <w:tcPr>
                  <w:tcW w:w="645" w:type="pct"/>
                  <w:vAlign w:val="center"/>
                </w:tcPr>
                <w:p w14:paraId="199020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10辆</w:t>
                  </w:r>
                </w:p>
              </w:tc>
              <w:tc>
                <w:tcPr>
                  <w:tcW w:w="437" w:type="pct"/>
                  <w:vAlign w:val="center"/>
                </w:tcPr>
                <w:p w14:paraId="0AC1CD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689" w:type="pct"/>
                  <w:vAlign w:val="center"/>
                </w:tcPr>
                <w:p w14:paraId="38D719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0.9</w:t>
                  </w:r>
                </w:p>
              </w:tc>
              <w:tc>
                <w:tcPr>
                  <w:tcW w:w="1189" w:type="pct"/>
                  <w:tcBorders>
                    <w:right w:val="nil"/>
                  </w:tcBorders>
                  <w:vAlign w:val="center"/>
                </w:tcPr>
                <w:p w14:paraId="7B9DEA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9；砂石分离器→五级沉淀池→回用于降尘，不外排。</w:t>
                  </w:r>
                </w:p>
              </w:tc>
            </w:tr>
            <w:tr w14:paraId="281074E0">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restart"/>
                  <w:vAlign w:val="center"/>
                </w:tcPr>
                <w:p w14:paraId="55B2C9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331" w:type="pct"/>
                  <w:vMerge w:val="restart"/>
                  <w:vAlign w:val="center"/>
                </w:tcPr>
                <w:p w14:paraId="18D0B7D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养护</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/蒸养</w:t>
                  </w:r>
                </w:p>
              </w:tc>
              <w:tc>
                <w:tcPr>
                  <w:tcW w:w="637" w:type="pct"/>
                  <w:vAlign w:val="center"/>
                </w:tcPr>
                <w:p w14:paraId="590F22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春夏秋</w:t>
                  </w:r>
                </w:p>
                <w:p w14:paraId="66F259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250d</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16" w:type="pct"/>
                  <w:vAlign w:val="center"/>
                </w:tcPr>
                <w:p w14:paraId="7B904F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/d</w:t>
                  </w:r>
                </w:p>
              </w:tc>
              <w:tc>
                <w:tcPr>
                  <w:tcW w:w="645" w:type="pct"/>
                  <w:vAlign w:val="center"/>
                </w:tcPr>
                <w:p w14:paraId="62DBBA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437" w:type="pct"/>
                  <w:vAlign w:val="center"/>
                </w:tcPr>
                <w:p w14:paraId="2309BE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689" w:type="pct"/>
                  <w:vAlign w:val="center"/>
                </w:tcPr>
                <w:p w14:paraId="558B232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冷凝水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产污系数0.</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189" w:type="pct"/>
                  <w:tcBorders>
                    <w:right w:val="nil"/>
                  </w:tcBorders>
                  <w:vAlign w:val="center"/>
                </w:tcPr>
                <w:p w14:paraId="412F56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冷凝水1.5；沉淀池→回用于降尘，不外排。</w:t>
                  </w:r>
                </w:p>
              </w:tc>
            </w:tr>
            <w:tr w14:paraId="4C3C6200">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continue"/>
                  <w:vAlign w:val="center"/>
                </w:tcPr>
                <w:p w14:paraId="30CD1E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31" w:type="pct"/>
                  <w:vMerge w:val="continue"/>
                  <w:vAlign w:val="center"/>
                </w:tcPr>
                <w:p w14:paraId="110399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37" w:type="pct"/>
                  <w:vAlign w:val="center"/>
                </w:tcPr>
                <w:p w14:paraId="19BC41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冬</w:t>
                  </w:r>
                </w:p>
                <w:p w14:paraId="4D31E3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100d</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16" w:type="pct"/>
                  <w:vAlign w:val="center"/>
                </w:tcPr>
                <w:p w14:paraId="3CF2FA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/d</w:t>
                  </w:r>
                </w:p>
              </w:tc>
              <w:tc>
                <w:tcPr>
                  <w:tcW w:w="645" w:type="pct"/>
                  <w:vAlign w:val="center"/>
                </w:tcPr>
                <w:p w14:paraId="6A3520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437" w:type="pct"/>
                  <w:vAlign w:val="center"/>
                </w:tcPr>
                <w:p w14:paraId="048763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c>
                <w:tcPr>
                  <w:tcW w:w="689" w:type="pct"/>
                  <w:vAlign w:val="center"/>
                </w:tcPr>
                <w:p w14:paraId="077427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纯水制备率</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75%，</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冷凝水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产污系数0.1</w:t>
                  </w:r>
                </w:p>
              </w:tc>
              <w:tc>
                <w:tcPr>
                  <w:tcW w:w="1189" w:type="pct"/>
                  <w:tcBorders>
                    <w:right w:val="nil"/>
                  </w:tcBorders>
                  <w:vAlign w:val="center"/>
                </w:tcPr>
                <w:p w14:paraId="55583B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浓水</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5；冷凝水1.5。沉淀池→回用于降尘，不外排。</w:t>
                  </w:r>
                </w:p>
              </w:tc>
            </w:tr>
            <w:tr w14:paraId="5E692E9B">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Align w:val="center"/>
                </w:tcPr>
                <w:p w14:paraId="16B161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968" w:type="pct"/>
                  <w:gridSpan w:val="2"/>
                  <w:vAlign w:val="center"/>
                </w:tcPr>
                <w:p w14:paraId="74E31E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运输车辆冲洗</w:t>
                  </w:r>
                </w:p>
              </w:tc>
              <w:tc>
                <w:tcPr>
                  <w:tcW w:w="716" w:type="pct"/>
                  <w:vAlign w:val="center"/>
                </w:tcPr>
                <w:p w14:paraId="5B3CD56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100L/（辆·次）</w:t>
                  </w:r>
                </w:p>
              </w:tc>
              <w:tc>
                <w:tcPr>
                  <w:tcW w:w="645" w:type="pct"/>
                  <w:vAlign w:val="center"/>
                </w:tcPr>
                <w:p w14:paraId="17315D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1"/>
                      <w:szCs w:val="21"/>
                      <w:highlight w:val="none"/>
                      <w14:textFill>
                        <w14:solidFill>
                          <w14:schemeClr w14:val="tx1"/>
                        </w14:solidFill>
                      </w14:textFill>
                    </w:rPr>
                    <w:t>辆·次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0"/>
                      <w:highlight w:val="none"/>
                      <w:lang w:val="en-US" w:eastAsia="zh-CN"/>
                      <w14:textFill>
                        <w14:solidFill>
                          <w14:schemeClr w14:val="tx1"/>
                        </w14:solidFill>
                      </w14:textFill>
                    </w:rPr>
                    <w:t>d</w:t>
                  </w:r>
                </w:p>
              </w:tc>
              <w:tc>
                <w:tcPr>
                  <w:tcW w:w="437" w:type="pct"/>
                  <w:vAlign w:val="center"/>
                </w:tcPr>
                <w:p w14:paraId="0A32E5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689" w:type="pct"/>
                  <w:vAlign w:val="center"/>
                </w:tcPr>
                <w:p w14:paraId="25E7EE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0.9</w:t>
                  </w:r>
                </w:p>
              </w:tc>
              <w:tc>
                <w:tcPr>
                  <w:tcW w:w="1189" w:type="pct"/>
                  <w:tcBorders>
                    <w:right w:val="nil"/>
                  </w:tcBorders>
                  <w:vAlign w:val="center"/>
                </w:tcPr>
                <w:p w14:paraId="50FC64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5.4；车辆冲洗池→回用于冲洗，不外排。</w:t>
                  </w:r>
                </w:p>
              </w:tc>
            </w:tr>
            <w:tr w14:paraId="1E8F0424">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Align w:val="center"/>
                </w:tcPr>
                <w:p w14:paraId="37DBBD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968" w:type="pct"/>
                  <w:gridSpan w:val="2"/>
                  <w:vAlign w:val="center"/>
                </w:tcPr>
                <w:p w14:paraId="35D3D6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地坪冲洗</w:t>
                  </w:r>
                </w:p>
              </w:tc>
              <w:tc>
                <w:tcPr>
                  <w:tcW w:w="716" w:type="pct"/>
                  <w:vAlign w:val="center"/>
                </w:tcPr>
                <w:p w14:paraId="4AEE81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2L/m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·d</w:t>
                  </w:r>
                </w:p>
              </w:tc>
              <w:tc>
                <w:tcPr>
                  <w:tcW w:w="645" w:type="pct"/>
                  <w:vAlign w:val="center"/>
                </w:tcPr>
                <w:p w14:paraId="4B8E56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000</w:t>
                  </w:r>
                </w:p>
              </w:tc>
              <w:tc>
                <w:tcPr>
                  <w:tcW w:w="437" w:type="pct"/>
                  <w:vAlign w:val="center"/>
                </w:tcPr>
                <w:p w14:paraId="3478AEB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689" w:type="pct"/>
                  <w:vAlign w:val="center"/>
                </w:tcPr>
                <w:p w14:paraId="46C0D6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0.8</w:t>
                  </w:r>
                </w:p>
              </w:tc>
              <w:tc>
                <w:tcPr>
                  <w:tcW w:w="1189" w:type="pct"/>
                  <w:tcBorders>
                    <w:right w:val="nil"/>
                  </w:tcBorders>
                  <w:vAlign w:val="center"/>
                </w:tcPr>
                <w:p w14:paraId="723519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1.6；砂石分离器→五级沉淀池→回用于降尘，不外排。</w:t>
                  </w:r>
                </w:p>
              </w:tc>
            </w:tr>
            <w:tr w14:paraId="75C249C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restart"/>
                  <w:vAlign w:val="center"/>
                </w:tcPr>
                <w:p w14:paraId="5C6A96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w:t>
                  </w:r>
                </w:p>
              </w:tc>
              <w:tc>
                <w:tcPr>
                  <w:tcW w:w="331" w:type="pct"/>
                  <w:vMerge w:val="restart"/>
                  <w:vAlign w:val="center"/>
                </w:tcPr>
                <w:p w14:paraId="4C440C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降尘用水</w:t>
                  </w:r>
                </w:p>
              </w:tc>
              <w:tc>
                <w:tcPr>
                  <w:tcW w:w="637" w:type="pct"/>
                  <w:vAlign w:val="center"/>
                </w:tcPr>
                <w:p w14:paraId="38EEC2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喷雾装置</w:t>
                  </w:r>
                </w:p>
              </w:tc>
              <w:tc>
                <w:tcPr>
                  <w:tcW w:w="716" w:type="pct"/>
                  <w:vAlign w:val="center"/>
                </w:tcPr>
                <w:p w14:paraId="69EA615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喷雾点</w:t>
                  </w:r>
                </w:p>
              </w:tc>
              <w:tc>
                <w:tcPr>
                  <w:tcW w:w="645" w:type="pct"/>
                  <w:vAlign w:val="center"/>
                </w:tcPr>
                <w:p w14:paraId="3BA8CE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w:t>
                  </w:r>
                </w:p>
              </w:tc>
              <w:tc>
                <w:tcPr>
                  <w:tcW w:w="437" w:type="pct"/>
                  <w:vAlign w:val="center"/>
                </w:tcPr>
                <w:p w14:paraId="3E8441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w:t>
                  </w:r>
                </w:p>
              </w:tc>
              <w:tc>
                <w:tcPr>
                  <w:tcW w:w="689" w:type="pct"/>
                  <w:vAlign w:val="center"/>
                </w:tcPr>
                <w:p w14:paraId="6B9A43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0DDCF4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全部蒸发损失</w:t>
                  </w:r>
                </w:p>
              </w:tc>
            </w:tr>
            <w:tr w14:paraId="4F5563D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continue"/>
                  <w:vAlign w:val="center"/>
                </w:tcPr>
                <w:p w14:paraId="7AD3B8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31" w:type="pct"/>
                  <w:vMerge w:val="continue"/>
                  <w:vAlign w:val="center"/>
                </w:tcPr>
                <w:p w14:paraId="275C32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37" w:type="pct"/>
                  <w:vAlign w:val="center"/>
                </w:tcPr>
                <w:p w14:paraId="2619AD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雾炮机</w:t>
                  </w:r>
                </w:p>
              </w:tc>
              <w:tc>
                <w:tcPr>
                  <w:tcW w:w="716" w:type="pct"/>
                  <w:vAlign w:val="center"/>
                </w:tcPr>
                <w:p w14:paraId="3B54C6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台</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h</w:t>
                  </w:r>
                </w:p>
              </w:tc>
              <w:tc>
                <w:tcPr>
                  <w:tcW w:w="645" w:type="pct"/>
                  <w:vAlign w:val="center"/>
                </w:tcPr>
                <w:p w14:paraId="4DC144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2台；2h</w:t>
                  </w:r>
                </w:p>
              </w:tc>
              <w:tc>
                <w:tcPr>
                  <w:tcW w:w="437" w:type="pct"/>
                  <w:vAlign w:val="center"/>
                </w:tcPr>
                <w:p w14:paraId="4026D1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689" w:type="pct"/>
                  <w:vAlign w:val="center"/>
                </w:tcPr>
                <w:p w14:paraId="24995C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58E7CC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全部蒸发损失</w:t>
                  </w:r>
                </w:p>
              </w:tc>
            </w:tr>
            <w:tr w14:paraId="4F8F6FEB">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continue"/>
                  <w:vAlign w:val="center"/>
                </w:tcPr>
                <w:p w14:paraId="440F8D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31" w:type="pct"/>
                  <w:vMerge w:val="continue"/>
                  <w:vAlign w:val="center"/>
                </w:tcPr>
                <w:p w14:paraId="16E62A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37" w:type="pct"/>
                  <w:vAlign w:val="center"/>
                </w:tcPr>
                <w:p w14:paraId="31EA74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洒水车</w:t>
                  </w:r>
                </w:p>
              </w:tc>
              <w:tc>
                <w:tcPr>
                  <w:tcW w:w="716" w:type="pct"/>
                  <w:vAlign w:val="center"/>
                </w:tcPr>
                <w:p w14:paraId="4B0B06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/辆·d</w:t>
                  </w:r>
                </w:p>
              </w:tc>
              <w:tc>
                <w:tcPr>
                  <w:tcW w:w="645" w:type="pct"/>
                  <w:vAlign w:val="center"/>
                </w:tcPr>
                <w:p w14:paraId="580D841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辆</w:t>
                  </w:r>
                </w:p>
              </w:tc>
              <w:tc>
                <w:tcPr>
                  <w:tcW w:w="437" w:type="pct"/>
                  <w:vAlign w:val="center"/>
                </w:tcPr>
                <w:p w14:paraId="6DFE52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689" w:type="pct"/>
                  <w:vAlign w:val="center"/>
                </w:tcPr>
                <w:p w14:paraId="7FA1BD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35C271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全部蒸发损失</w:t>
                  </w:r>
                </w:p>
              </w:tc>
            </w:tr>
            <w:tr w14:paraId="3B0BA9CF">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restart"/>
                  <w:vAlign w:val="center"/>
                </w:tcPr>
                <w:p w14:paraId="578194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8</w:t>
                  </w:r>
                </w:p>
              </w:tc>
              <w:tc>
                <w:tcPr>
                  <w:tcW w:w="968" w:type="pct"/>
                  <w:gridSpan w:val="2"/>
                  <w:vAlign w:val="center"/>
                </w:tcPr>
                <w:p w14:paraId="0B9B5D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生活用水</w:t>
                  </w:r>
                </w:p>
              </w:tc>
              <w:tc>
                <w:tcPr>
                  <w:tcW w:w="716" w:type="pct"/>
                  <w:vAlign w:val="center"/>
                </w:tcPr>
                <w:p w14:paraId="7E9D0D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1"/>
                      <w:szCs w:val="21"/>
                      <w:highlight w:val="none"/>
                      <w14:textFill>
                        <w14:solidFill>
                          <w14:schemeClr w14:val="tx1"/>
                        </w14:solidFill>
                      </w14:textFill>
                    </w:rPr>
                    <w:t>L/人·d</w:t>
                  </w:r>
                </w:p>
              </w:tc>
              <w:tc>
                <w:tcPr>
                  <w:tcW w:w="645" w:type="pct"/>
                  <w:vAlign w:val="center"/>
                </w:tcPr>
                <w:p w14:paraId="146FF0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75</w:t>
                  </w:r>
                </w:p>
              </w:tc>
              <w:tc>
                <w:tcPr>
                  <w:tcW w:w="437" w:type="pct"/>
                  <w:vAlign w:val="center"/>
                </w:tcPr>
                <w:p w14:paraId="699760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4.5</w:t>
                  </w:r>
                </w:p>
              </w:tc>
              <w:tc>
                <w:tcPr>
                  <w:tcW w:w="689" w:type="pct"/>
                  <w:vAlign w:val="center"/>
                </w:tcPr>
                <w:p w14:paraId="4C647F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0.8</w:t>
                  </w:r>
                </w:p>
              </w:tc>
              <w:tc>
                <w:tcPr>
                  <w:tcW w:w="1189" w:type="pct"/>
                  <w:tcBorders>
                    <w:right w:val="nil"/>
                  </w:tcBorders>
                  <w:vAlign w:val="center"/>
                </w:tcPr>
                <w:p w14:paraId="4FEC33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3.6；化粪池→宝梵污水处理厂</w:t>
                  </w:r>
                </w:p>
              </w:tc>
            </w:tr>
            <w:tr w14:paraId="547F45E5">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3" w:type="pct"/>
                  <w:vMerge w:val="continue"/>
                  <w:vAlign w:val="center"/>
                </w:tcPr>
                <w:p w14:paraId="6FD163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968" w:type="pct"/>
                  <w:gridSpan w:val="2"/>
                  <w:vAlign w:val="center"/>
                </w:tcPr>
                <w:p w14:paraId="4B7F44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餐饮用水</w:t>
                  </w:r>
                </w:p>
              </w:tc>
              <w:tc>
                <w:tcPr>
                  <w:tcW w:w="716" w:type="pct"/>
                  <w:vAlign w:val="center"/>
                </w:tcPr>
                <w:p w14:paraId="522DDD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1"/>
                      <w:szCs w:val="21"/>
                      <w:highlight w:val="none"/>
                      <w14:textFill>
                        <w14:solidFill>
                          <w14:schemeClr w14:val="tx1"/>
                        </w14:solidFill>
                      </w14:textFill>
                    </w:rPr>
                    <w:t>L/人·d</w:t>
                  </w:r>
                </w:p>
              </w:tc>
              <w:tc>
                <w:tcPr>
                  <w:tcW w:w="645" w:type="pct"/>
                  <w:vAlign w:val="center"/>
                </w:tcPr>
                <w:p w14:paraId="6A1E09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75</w:t>
                  </w:r>
                </w:p>
              </w:tc>
              <w:tc>
                <w:tcPr>
                  <w:tcW w:w="437" w:type="pct"/>
                  <w:vAlign w:val="center"/>
                </w:tcPr>
                <w:p w14:paraId="391295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2.25</w:t>
                  </w:r>
                </w:p>
              </w:tc>
              <w:tc>
                <w:tcPr>
                  <w:tcW w:w="689" w:type="pct"/>
                  <w:vAlign w:val="center"/>
                </w:tcPr>
                <w:p w14:paraId="5A8E8B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0.8</w:t>
                  </w:r>
                </w:p>
              </w:tc>
              <w:tc>
                <w:tcPr>
                  <w:tcW w:w="1189" w:type="pct"/>
                  <w:tcBorders>
                    <w:right w:val="nil"/>
                  </w:tcBorders>
                  <w:vAlign w:val="center"/>
                </w:tcPr>
                <w:p w14:paraId="0B8B97C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1.8；油水分离器→化粪池→宝梵污水处理厂</w:t>
                  </w:r>
                </w:p>
              </w:tc>
            </w:tr>
            <w:tr w14:paraId="1C23C541">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83" w:type="pct"/>
                  <w:gridSpan w:val="5"/>
                  <w:vAlign w:val="center"/>
                </w:tcPr>
                <w:p w14:paraId="3836C5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合计</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（除冬季外）</w:t>
                  </w:r>
                </w:p>
              </w:tc>
              <w:tc>
                <w:tcPr>
                  <w:tcW w:w="437" w:type="pct"/>
                  <w:vAlign w:val="center"/>
                </w:tcPr>
                <w:p w14:paraId="25C8E8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115.49</w:t>
                  </w:r>
                </w:p>
              </w:tc>
              <w:tc>
                <w:tcPr>
                  <w:tcW w:w="689" w:type="pct"/>
                  <w:vAlign w:val="center"/>
                </w:tcPr>
                <w:p w14:paraId="23894F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6D5207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w:t>
                  </w:r>
                </w:p>
              </w:tc>
            </w:tr>
            <w:tr w14:paraId="24A5F95D">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83" w:type="pct"/>
                  <w:gridSpan w:val="5"/>
                  <w:tcBorders>
                    <w:bottom w:val="single" w:color="auto" w:sz="12" w:space="0"/>
                  </w:tcBorders>
                  <w:vAlign w:val="center"/>
                </w:tcPr>
                <w:p w14:paraId="08E72A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合计</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（冬季）</w:t>
                  </w:r>
                </w:p>
              </w:tc>
              <w:tc>
                <w:tcPr>
                  <w:tcW w:w="437" w:type="pct"/>
                  <w:tcBorders>
                    <w:bottom w:val="single" w:color="auto" w:sz="12" w:space="0"/>
                  </w:tcBorders>
                  <w:vAlign w:val="center"/>
                </w:tcPr>
                <w:p w14:paraId="09DE62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120.49</w:t>
                  </w:r>
                </w:p>
              </w:tc>
              <w:tc>
                <w:tcPr>
                  <w:tcW w:w="689" w:type="pct"/>
                  <w:tcBorders>
                    <w:bottom w:val="single" w:color="auto" w:sz="12" w:space="0"/>
                  </w:tcBorders>
                  <w:vAlign w:val="center"/>
                </w:tcPr>
                <w:p w14:paraId="5594B6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bottom w:val="single" w:color="auto" w:sz="12" w:space="0"/>
                    <w:right w:val="nil"/>
                  </w:tcBorders>
                  <w:vAlign w:val="center"/>
                </w:tcPr>
                <w:p w14:paraId="0F7503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w:t>
                  </w:r>
                </w:p>
              </w:tc>
            </w:tr>
          </w:tbl>
          <w:p w14:paraId="30963571">
            <w:pPr>
              <w:spacing w:line="500" w:lineRule="exact"/>
              <w:ind w:firstLine="482" w:firstLineChars="200"/>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项目水平衡图：</w:t>
            </w:r>
          </w:p>
          <w:p w14:paraId="65AA6337">
            <w:pPr>
              <w:jc w:val="center"/>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object>
                <v:shape id="_x0000_i1026" o:spt="75" type="#_x0000_t75" style="height:290.85pt;width:403.85pt;" o:ole="t" filled="f" o:preferrelative="t" stroked="f" coordsize="21600,21600">
                  <v:path/>
                  <v:fill on="f" focussize="0,0"/>
                  <v:stroke on="f"/>
                  <v:imagedata r:id="rId14" o:title=""/>
                  <o:lock v:ext="edit" aspectratio="f"/>
                  <w10:wrap type="none"/>
                  <w10:anchorlock/>
                </v:shape>
                <o:OLEObject Type="Embed" ProgID="Visio.Drawing.15" ShapeID="_x0000_i1026" DrawAspect="Content" ObjectID="_1468075726" r:id="rId13">
                  <o:LockedField>false</o:LockedField>
                </o:OLEObject>
              </w:object>
            </w:r>
            <w:r>
              <w:rPr>
                <w:color w:val="000000" w:themeColor="text1"/>
                <w:highlight w:val="none"/>
                <w14:textFill>
                  <w14:solidFill>
                    <w14:schemeClr w14:val="tx1"/>
                  </w14:solidFill>
                </w14:textFill>
              </w:rPr>
              <w:drawing>
                <wp:inline distT="0" distB="0" distL="114300" distR="114300">
                  <wp:extent cx="4552315" cy="1102995"/>
                  <wp:effectExtent l="0" t="0" r="635" b="1905"/>
                  <wp:docPr id="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pic:cNvPicPr>
                            <a:picLocks noChangeAspect="1"/>
                          </pic:cNvPicPr>
                        </pic:nvPicPr>
                        <pic:blipFill>
                          <a:blip r:embed="rId15"/>
                          <a:stretch>
                            <a:fillRect/>
                          </a:stretch>
                        </pic:blipFill>
                        <pic:spPr>
                          <a:xfrm>
                            <a:off x="0" y="0"/>
                            <a:ext cx="4552315" cy="1102995"/>
                          </a:xfrm>
                          <a:prstGeom prst="rect">
                            <a:avLst/>
                          </a:prstGeom>
                          <a:noFill/>
                          <a:ln>
                            <a:noFill/>
                          </a:ln>
                        </pic:spPr>
                      </pic:pic>
                    </a:graphicData>
                  </a:graphic>
                </wp:inline>
              </w:drawing>
            </w:r>
          </w:p>
          <w:p w14:paraId="41DC8FD3">
            <w:pPr>
              <w:spacing w:line="360" w:lineRule="exact"/>
              <w:ind w:firstLine="422" w:firstLineChars="200"/>
              <w:jc w:val="center"/>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w:t>
            </w:r>
            <w:r>
              <w:rPr>
                <w:rFonts w:ascii="Times New Roman" w:hAnsi="Times New Roman" w:eastAsia="宋体"/>
                <w:b/>
                <w:bCs/>
                <w:color w:val="000000" w:themeColor="text1"/>
                <w:szCs w:val="21"/>
                <w:highlight w:val="none"/>
                <w14:textFill>
                  <w14:solidFill>
                    <w14:schemeClr w14:val="tx1"/>
                  </w14:solidFill>
                </w14:textFill>
              </w:rPr>
              <w:t>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2</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项目水平衡图</w:t>
            </w:r>
            <w:r>
              <w:rPr>
                <w:rFonts w:hint="eastAsia" w:ascii="Times New Roman" w:hAnsi="Times New Roman" w:eastAsia="宋体"/>
                <w:b/>
                <w:bCs/>
                <w:color w:val="000000" w:themeColor="text1"/>
                <w:szCs w:val="21"/>
                <w:highlight w:val="none"/>
                <w:lang w:eastAsia="zh-CN"/>
                <w14:textFill>
                  <w14:solidFill>
                    <w14:schemeClr w14:val="tx1"/>
                  </w14:solidFill>
                </w14:textFill>
              </w:rPr>
              <w:t>（</w:t>
            </w:r>
            <w:r>
              <w:rPr>
                <w:rFonts w:hint="eastAsia" w:ascii="Times New Roman" w:hAnsi="Times New Roman" w:eastAsia="宋体"/>
                <w:b/>
                <w:bCs/>
                <w:color w:val="000000" w:themeColor="text1"/>
                <w:szCs w:val="21"/>
                <w:highlight w:val="none"/>
                <w14:textFill>
                  <w14:solidFill>
                    <w14:schemeClr w14:val="tx1"/>
                  </w14:solidFill>
                </w14:textFill>
              </w:rPr>
              <w:t>单位：m</w:t>
            </w:r>
            <w:r>
              <w:rPr>
                <w:rFonts w:hint="eastAsia" w:ascii="Times New Roman" w:hAnsi="Times New Roman" w:eastAsia="宋体"/>
                <w:b/>
                <w:bCs/>
                <w:color w:val="000000" w:themeColor="text1"/>
                <w:szCs w:val="21"/>
                <w:highlight w:val="none"/>
                <w:vertAlign w:val="superscript"/>
                <w14:textFill>
                  <w14:solidFill>
                    <w14:schemeClr w14:val="tx1"/>
                  </w14:solidFill>
                </w14:textFill>
              </w:rPr>
              <w:t>3</w:t>
            </w:r>
            <w:r>
              <w:rPr>
                <w:rFonts w:hint="eastAsia" w:ascii="Times New Roman" w:hAnsi="Times New Roman" w:eastAsia="宋体"/>
                <w:b/>
                <w:bCs/>
                <w:color w:val="000000" w:themeColor="text1"/>
                <w:szCs w:val="21"/>
                <w:highlight w:val="none"/>
                <w14:textFill>
                  <w14:solidFill>
                    <w14:schemeClr w14:val="tx1"/>
                  </w14:solidFill>
                </w14:textFill>
              </w:rPr>
              <w:t>/d</w:t>
            </w:r>
            <w:r>
              <w:rPr>
                <w:rFonts w:hint="eastAsia" w:ascii="Times New Roman" w:hAnsi="Times New Roman" w:eastAsia="宋体"/>
                <w:b/>
                <w:bCs/>
                <w:color w:val="000000" w:themeColor="text1"/>
                <w:szCs w:val="21"/>
                <w:highlight w:val="none"/>
                <w:lang w:eastAsia="zh-CN"/>
                <w14:textFill>
                  <w14:solidFill>
                    <w14:schemeClr w14:val="tx1"/>
                  </w14:solidFill>
                </w14:textFill>
              </w:rPr>
              <w:t>）</w:t>
            </w:r>
          </w:p>
          <w:p w14:paraId="60318068">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default"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4、供热</w:t>
            </w:r>
          </w:p>
          <w:p w14:paraId="3CAEA3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项目生产过程中，冬季养护采用蒸养方式，蒸养工序所需温度为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20~30</w:t>
            </w:r>
            <w:r>
              <w:rPr>
                <w:rFonts w:hint="eastAsia" w:ascii="Times New Roman" w:hAnsi="Times New Roman" w:eastAsia="宋体"/>
                <w:color w:val="000000" w:themeColor="text1"/>
                <w:sz w:val="24"/>
                <w:szCs w:val="21"/>
                <w:highlight w:val="none"/>
                <w:lang w:eastAsia="zh-CN"/>
                <w14:textFill>
                  <w14:solidFill>
                    <w14:schemeClr w14:val="tx1"/>
                  </w14:solidFill>
                </w14:textFill>
              </w:rPr>
              <w:t>℃左右，蒸汽由电加热蒸汽发生器提供。项目蒸汽平衡见下图</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2-3</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p>
          <w:p w14:paraId="58B0DE18">
            <w:pPr>
              <w:spacing w:line="240" w:lineRule="auto"/>
              <w:jc w:val="center"/>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object>
                <v:shape id="_x0000_i1027" o:spt="75" type="#_x0000_t75" style="height:79.8pt;width:282.25pt;" o:ole="t" filled="f" o:preferrelative="t" stroked="f" coordsize="21600,21600">
                  <v:path/>
                  <v:fill on="f" focussize="0,0"/>
                  <v:stroke on="f"/>
                  <v:imagedata r:id="rId17" o:title=""/>
                  <o:lock v:ext="edit" aspectratio="f"/>
                  <w10:wrap type="none"/>
                  <w10:anchorlock/>
                </v:shape>
                <o:OLEObject Type="Embed" ProgID="Visio.Drawing.11" ShapeID="_x0000_i1027" DrawAspect="Content" ObjectID="_1468075727" r:id="rId16">
                  <o:LockedField>false</o:LockedField>
                </o:OLEObject>
              </w:object>
            </w:r>
          </w:p>
          <w:p w14:paraId="341F7878">
            <w:pPr>
              <w:spacing w:line="360" w:lineRule="exact"/>
              <w:ind w:firstLine="422" w:firstLineChars="200"/>
              <w:jc w:val="center"/>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w:t>
            </w:r>
            <w:r>
              <w:rPr>
                <w:rFonts w:ascii="Times New Roman" w:hAnsi="Times New Roman" w:eastAsia="宋体"/>
                <w:b/>
                <w:bCs/>
                <w:color w:val="000000" w:themeColor="text1"/>
                <w:szCs w:val="21"/>
                <w:highlight w:val="none"/>
                <w14:textFill>
                  <w14:solidFill>
                    <w14:schemeClr w14:val="tx1"/>
                  </w14:solidFill>
                </w14:textFill>
              </w:rPr>
              <w:t>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3</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eastAsia="zh-CN"/>
                <w14:textFill>
                  <w14:solidFill>
                    <w14:schemeClr w14:val="tx1"/>
                  </w14:solidFill>
                </w14:textFill>
              </w:rPr>
              <w:t>蒸汽</w:t>
            </w:r>
            <w:r>
              <w:rPr>
                <w:rFonts w:hint="eastAsia" w:ascii="Times New Roman" w:hAnsi="Times New Roman" w:eastAsia="宋体"/>
                <w:b/>
                <w:bCs/>
                <w:color w:val="000000" w:themeColor="text1"/>
                <w:szCs w:val="21"/>
                <w:highlight w:val="none"/>
                <w14:textFill>
                  <w14:solidFill>
                    <w14:schemeClr w14:val="tx1"/>
                  </w14:solidFill>
                </w14:textFill>
              </w:rPr>
              <w:t>平衡图</w:t>
            </w:r>
            <w:r>
              <w:rPr>
                <w:rFonts w:hint="eastAsia" w:ascii="Times New Roman" w:hAnsi="Times New Roman" w:eastAsia="宋体"/>
                <w:b/>
                <w:bCs/>
                <w:color w:val="000000" w:themeColor="text1"/>
                <w:szCs w:val="21"/>
                <w:highlight w:val="none"/>
                <w:lang w:eastAsia="zh-CN"/>
                <w14:textFill>
                  <w14:solidFill>
                    <w14:schemeClr w14:val="tx1"/>
                  </w14:solidFill>
                </w14:textFill>
              </w:rPr>
              <w:t>（</w:t>
            </w:r>
            <w:r>
              <w:rPr>
                <w:rFonts w:hint="eastAsia" w:ascii="Times New Roman" w:hAnsi="Times New Roman" w:eastAsia="宋体"/>
                <w:b/>
                <w:bCs/>
                <w:color w:val="000000" w:themeColor="text1"/>
                <w:szCs w:val="21"/>
                <w:highlight w:val="none"/>
                <w14:textFill>
                  <w14:solidFill>
                    <w14:schemeClr w14:val="tx1"/>
                  </w14:solidFill>
                </w14:textFill>
              </w:rPr>
              <w:t>单位：m</w:t>
            </w:r>
            <w:r>
              <w:rPr>
                <w:rFonts w:hint="eastAsia" w:ascii="Times New Roman" w:hAnsi="Times New Roman" w:eastAsia="宋体"/>
                <w:b/>
                <w:bCs/>
                <w:color w:val="000000" w:themeColor="text1"/>
                <w:szCs w:val="21"/>
                <w:highlight w:val="none"/>
                <w:vertAlign w:val="superscript"/>
                <w14:textFill>
                  <w14:solidFill>
                    <w14:schemeClr w14:val="tx1"/>
                  </w14:solidFill>
                </w14:textFill>
              </w:rPr>
              <w:t>3</w:t>
            </w:r>
            <w:r>
              <w:rPr>
                <w:rFonts w:hint="eastAsia" w:ascii="Times New Roman" w:hAnsi="Times New Roman" w:eastAsia="宋体"/>
                <w:b/>
                <w:bCs/>
                <w:color w:val="000000" w:themeColor="text1"/>
                <w:szCs w:val="21"/>
                <w:highlight w:val="none"/>
                <w14:textFill>
                  <w14:solidFill>
                    <w14:schemeClr w14:val="tx1"/>
                  </w14:solidFill>
                </w14:textFill>
              </w:rPr>
              <w:t>/d</w:t>
            </w:r>
            <w:r>
              <w:rPr>
                <w:rFonts w:hint="eastAsia" w:ascii="Times New Roman" w:hAnsi="Times New Roman" w:eastAsia="宋体"/>
                <w:b/>
                <w:bCs/>
                <w:color w:val="000000" w:themeColor="text1"/>
                <w:szCs w:val="21"/>
                <w:highlight w:val="none"/>
                <w:lang w:eastAsia="zh-CN"/>
                <w14:textFill>
                  <w14:solidFill>
                    <w14:schemeClr w14:val="tx1"/>
                  </w14:solidFill>
                </w14:textFill>
              </w:rPr>
              <w:t>）</w:t>
            </w:r>
          </w:p>
          <w:p w14:paraId="4D4B0F1A">
            <w:pPr>
              <w:spacing w:line="500" w:lineRule="exact"/>
              <w:rPr>
                <w:rFonts w:hint="eastAsia" w:ascii="Times New Roman" w:hAnsi="Times New Roman" w:eastAsia="宋体"/>
                <w:b/>
                <w:bCs/>
                <w:color w:val="000000" w:themeColor="text1"/>
                <w:sz w:val="24"/>
                <w:szCs w:val="21"/>
                <w:highlight w:val="none"/>
                <w:lang w:eastAsia="zh-CN"/>
                <w14:textFill>
                  <w14:solidFill>
                    <w14:schemeClr w14:val="tx1"/>
                  </w14:solidFill>
                </w14:textFill>
              </w:rPr>
            </w:pPr>
            <w:r>
              <w:rPr>
                <w:rFonts w:hint="eastAsia" w:ascii="Times New Roman" w:hAnsi="Times New Roman" w:eastAsia="宋体"/>
                <w:b/>
                <w:bCs/>
                <w:color w:val="000000" w:themeColor="text1"/>
                <w:sz w:val="24"/>
                <w:szCs w:val="21"/>
                <w:highlight w:val="none"/>
                <w:lang w:eastAsia="zh-CN"/>
                <w14:textFill>
                  <w14:solidFill>
                    <w14:schemeClr w14:val="tx1"/>
                  </w14:solidFill>
                </w14:textFill>
              </w:rPr>
              <w:t>八、总平面布置合理性分析</w:t>
            </w:r>
          </w:p>
          <w:p w14:paraId="2C8FD774">
            <w:pPr>
              <w:spacing w:line="500" w:lineRule="exact"/>
              <w:ind w:firstLine="480" w:firstLineChars="200"/>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本项目根据厂区“分区合理、工艺流畅、物流短捷、突出环保与安全”的原则，结合场地的用地条件及生产工艺，综合考虑环保、消防、绿化、劳动卫生等要求，对厂区布置进行了统筹安排。</w:t>
            </w:r>
          </w:p>
          <w:p w14:paraId="32FD21A4">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项目主要分为三块区域：混凝土拌和站、预制梁场、钢筋加工场，所有生产活动均在密闭厂房内进行。地块从东至西依次为预制梁场、拌和站、钢筋加工场。被侧紧邻成南高速连接线，便于运输；根据工艺流程，混凝土生产及预制梁由运输通道链接，流线型生产，方便生产衔接，可有效缩短项目去物料的运输距离，减少运输起尘量。</w:t>
            </w:r>
          </w:p>
          <w:p w14:paraId="0AB2D8F4">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项目距离最近的敏感点位于南侧</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5m处偏马村住户</w:t>
            </w:r>
            <w:r>
              <w:rPr>
                <w:rFonts w:hint="eastAsia" w:ascii="Times New Roman" w:hAnsi="Times New Roman" w:eastAsia="宋体"/>
                <w:color w:val="000000" w:themeColor="text1"/>
                <w:sz w:val="24"/>
                <w:szCs w:val="21"/>
                <w:highlight w:val="none"/>
                <w:lang w:eastAsia="zh-CN"/>
                <w14:textFill>
                  <w14:solidFill>
                    <w14:schemeClr w14:val="tx1"/>
                  </w14:solidFill>
                </w14:textFill>
              </w:rPr>
              <w:t>，项目所有生产活动均在密闭厂房内进行，</w:t>
            </w:r>
            <w:r>
              <w:rPr>
                <w:rFonts w:hint="eastAsia" w:eastAsia="宋体"/>
                <w:color w:val="000000" w:themeColor="text1"/>
                <w:kern w:val="2"/>
                <w:sz w:val="24"/>
                <w:szCs w:val="24"/>
                <w:highlight w:val="none"/>
                <w14:textFill>
                  <w14:solidFill>
                    <w14:schemeClr w14:val="tx1"/>
                  </w14:solidFill>
                </w14:textFill>
              </w:rPr>
              <w:t>营运期废气为粉尘，粉尘采取密闭搅拌楼、安装除尘器、封闭料场，增加淋洒设施、加强物料运输和装卸管理、实施文明装卸、加强绿化等措施，平时加强厂区内的清扫工作，并且对厂区道路和堆料场定时洒水，同时建立健全科学的操作规程和制度。</w:t>
            </w:r>
            <w:r>
              <w:rPr>
                <w:rFonts w:hint="eastAsia" w:ascii="Times New Roman" w:hAnsi="Times New Roman" w:eastAsia="宋体"/>
                <w:color w:val="000000" w:themeColor="text1"/>
                <w:sz w:val="24"/>
                <w:szCs w:val="24"/>
                <w:highlight w:val="none"/>
                <w:lang w:eastAsia="zh-CN"/>
                <w14:textFill>
                  <w14:solidFill>
                    <w14:schemeClr w14:val="tx1"/>
                  </w14:solidFill>
                </w14:textFill>
              </w:rPr>
              <w:t>项目在厂区周围设置收集沟，并在厂区低洼处设置沉淀池、隔油沉淀池等，生产废水经处理后回用于洒水降尘或</w:t>
            </w:r>
            <w:r>
              <w:rPr>
                <w:rFonts w:hint="eastAsia" w:eastAsia="宋体"/>
                <w:color w:val="000000" w:themeColor="text1"/>
                <w:sz w:val="24"/>
                <w:szCs w:val="24"/>
                <w:highlight w:val="none"/>
                <w:lang w:eastAsia="zh-CN"/>
                <w14:textFill>
                  <w14:solidFill>
                    <w14:schemeClr w14:val="tx1"/>
                  </w14:solidFill>
                </w14:textFill>
              </w:rPr>
              <w:t>清洁</w:t>
            </w:r>
            <w:r>
              <w:rPr>
                <w:rFonts w:hint="eastAsia" w:ascii="Times New Roman" w:hAnsi="Times New Roman" w:eastAsia="宋体"/>
                <w:color w:val="000000" w:themeColor="text1"/>
                <w:sz w:val="24"/>
                <w:szCs w:val="24"/>
                <w:highlight w:val="none"/>
                <w:lang w:eastAsia="zh-CN"/>
                <w14:textFill>
                  <w14:solidFill>
                    <w14:schemeClr w14:val="tx1"/>
                  </w14:solidFill>
                </w14:textFill>
              </w:rPr>
              <w:t>用水</w:t>
            </w:r>
            <w:r>
              <w:rPr>
                <w:rFonts w:hint="eastAsia" w:eastAsia="宋体"/>
                <w:color w:val="000000" w:themeColor="text1"/>
                <w:sz w:val="24"/>
                <w:szCs w:val="24"/>
                <w:highlight w:val="none"/>
                <w:lang w:eastAsia="zh-CN"/>
                <w14:textFill>
                  <w14:solidFill>
                    <w14:schemeClr w14:val="tx1"/>
                  </w14:solidFill>
                </w14:textFill>
              </w:rPr>
              <w:t>，初期雨水经雨水收集池收集后回用于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洒水降尘或</w:t>
            </w:r>
            <w:r>
              <w:rPr>
                <w:rFonts w:hint="eastAsia" w:eastAsia="宋体"/>
                <w:color w:val="000000" w:themeColor="text1"/>
                <w:sz w:val="24"/>
                <w:szCs w:val="24"/>
                <w:highlight w:val="none"/>
                <w:lang w:eastAsia="zh-CN"/>
                <w14:textFill>
                  <w14:solidFill>
                    <w14:schemeClr w14:val="tx1"/>
                  </w14:solidFill>
                </w14:textFill>
              </w:rPr>
              <w:t>清洁</w:t>
            </w:r>
            <w:r>
              <w:rPr>
                <w:rFonts w:hint="eastAsia" w:ascii="Times New Roman" w:hAnsi="Times New Roman" w:eastAsia="宋体"/>
                <w:color w:val="000000" w:themeColor="text1"/>
                <w:sz w:val="24"/>
                <w:szCs w:val="24"/>
                <w:highlight w:val="none"/>
                <w:lang w:eastAsia="zh-CN"/>
                <w14:textFill>
                  <w14:solidFill>
                    <w14:schemeClr w14:val="tx1"/>
                  </w14:solidFill>
                </w14:textFill>
              </w:rPr>
              <w:t>用水；生活污水</w:t>
            </w:r>
            <w:r>
              <w:rPr>
                <w:rFonts w:hint="eastAsia" w:eastAsia="宋体"/>
                <w:color w:val="000000" w:themeColor="text1"/>
                <w:sz w:val="24"/>
                <w:szCs w:val="24"/>
                <w:highlight w:val="none"/>
                <w:lang w:eastAsia="zh-CN"/>
                <w14:textFill>
                  <w14:solidFill>
                    <w14:schemeClr w14:val="tx1"/>
                  </w14:solidFill>
                </w14:textFill>
              </w:rPr>
              <w:t>排入市政管网进入宝梵</w:t>
            </w:r>
            <w:r>
              <w:rPr>
                <w:rFonts w:hint="eastAsia" w:ascii="Times New Roman" w:hAnsi="Times New Roman" w:eastAsia="宋体"/>
                <w:color w:val="000000" w:themeColor="text1"/>
                <w:sz w:val="24"/>
                <w:szCs w:val="24"/>
                <w:highlight w:val="none"/>
                <w:lang w:eastAsia="zh-CN"/>
                <w14:textFill>
                  <w14:solidFill>
                    <w14:schemeClr w14:val="tx1"/>
                  </w14:solidFill>
                </w14:textFill>
              </w:rPr>
              <w:t>污水处理厂。</w:t>
            </w:r>
            <w:r>
              <w:rPr>
                <w:rFonts w:hint="eastAsia" w:eastAsia="宋体"/>
                <w:color w:val="000000" w:themeColor="text1"/>
                <w:kern w:val="2"/>
                <w:sz w:val="24"/>
                <w:szCs w:val="24"/>
                <w:highlight w:val="none"/>
                <w14:textFill>
                  <w14:solidFill>
                    <w14:schemeClr w14:val="tx1"/>
                  </w14:solidFill>
                </w14:textFill>
              </w:rPr>
              <w:t>营运期噪声通过</w:t>
            </w:r>
            <w:r>
              <w:rPr>
                <w:rFonts w:hint="eastAsia" w:eastAsia="宋体"/>
                <w:color w:val="000000" w:themeColor="text1"/>
                <w:kern w:val="2"/>
                <w:sz w:val="24"/>
                <w:szCs w:val="24"/>
                <w:highlight w:val="none"/>
                <w:lang w:eastAsia="zh-CN"/>
                <w14:textFill>
                  <w14:solidFill>
                    <w14:schemeClr w14:val="tx1"/>
                  </w14:solidFill>
                </w14:textFill>
              </w:rPr>
              <w:t>围墙及厂房隔声、合理布局，高噪声设备远离东南侧居民，高噪声设备设置基础减震，加强运输管理等措施降低对西侧居民的影响。</w:t>
            </w:r>
            <w:r>
              <w:rPr>
                <w:rFonts w:hint="eastAsia" w:ascii="Times New Roman" w:hAnsi="Times New Roman" w:eastAsia="宋体"/>
                <w:color w:val="000000" w:themeColor="text1"/>
                <w:sz w:val="24"/>
                <w:szCs w:val="24"/>
                <w:highlight w:val="none"/>
                <w:lang w:eastAsia="zh-CN"/>
                <w14:textFill>
                  <w14:solidFill>
                    <w14:schemeClr w14:val="tx1"/>
                  </w14:solidFill>
                </w14:textFill>
              </w:rPr>
              <w:t>固体废物分类收集，有效处置，不会造成二次污染。建设单位严格按照相关污染防治措施后，</w:t>
            </w:r>
            <w:r>
              <w:rPr>
                <w:rFonts w:hint="eastAsia" w:eastAsia="宋体"/>
                <w:color w:val="000000" w:themeColor="text1"/>
                <w:kern w:val="2"/>
                <w:sz w:val="24"/>
                <w:szCs w:val="24"/>
                <w:highlight w:val="none"/>
                <w14:textFill>
                  <w14:solidFill>
                    <w14:schemeClr w14:val="tx1"/>
                  </w14:solidFill>
                </w14:textFill>
              </w:rPr>
              <w:t>本项目</w:t>
            </w:r>
            <w:r>
              <w:rPr>
                <w:rFonts w:hint="eastAsia" w:eastAsia="宋体"/>
                <w:color w:val="000000" w:themeColor="text1"/>
                <w:kern w:val="2"/>
                <w:sz w:val="24"/>
                <w:szCs w:val="24"/>
                <w:highlight w:val="none"/>
                <w:lang w:eastAsia="zh-CN"/>
                <w14:textFill>
                  <w14:solidFill>
                    <w14:schemeClr w14:val="tx1"/>
                  </w14:solidFill>
                </w14:textFill>
              </w:rPr>
              <w:t>污染物均能</w:t>
            </w:r>
            <w:r>
              <w:rPr>
                <w:rFonts w:hint="eastAsia" w:eastAsia="宋体"/>
                <w:color w:val="000000" w:themeColor="text1"/>
                <w:kern w:val="2"/>
                <w:sz w:val="24"/>
                <w:szCs w:val="24"/>
                <w:highlight w:val="none"/>
                <w14:textFill>
                  <w14:solidFill>
                    <w14:schemeClr w14:val="tx1"/>
                  </w14:solidFill>
                </w14:textFill>
              </w:rPr>
              <w:t>实现达标排放，对周边敏感目标影响较小。</w:t>
            </w:r>
          </w:p>
          <w:p w14:paraId="1A96520E">
            <w:pPr>
              <w:spacing w:line="500" w:lineRule="exact"/>
              <w:ind w:firstLine="482"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1"/>
                <w:highlight w:val="none"/>
                <w:lang w:eastAsia="zh-CN"/>
                <w14:textFill>
                  <w14:solidFill>
                    <w14:schemeClr w14:val="tx1"/>
                  </w14:solidFill>
                </w14:textFill>
              </w:rPr>
              <w:t>综上分析，本项目总图布置时充分考虑了地形条件和周边环境状况，功能分区明确，工艺流程顺畅，从环境保护角度分析，本项平面布置较为合理，详见附图四。</w:t>
            </w:r>
          </w:p>
        </w:tc>
      </w:tr>
      <w:tr w14:paraId="2FFCE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pct"/>
            <w:shd w:val="clear" w:color="auto" w:fill="auto"/>
            <w:vAlign w:val="center"/>
          </w:tcPr>
          <w:p w14:paraId="5148DA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工艺流程和产排污环节</w:t>
            </w:r>
          </w:p>
        </w:tc>
        <w:tc>
          <w:tcPr>
            <w:tcW w:w="4615" w:type="pct"/>
            <w:shd w:val="clear" w:color="auto" w:fill="auto"/>
            <w:vAlign w:val="center"/>
          </w:tcPr>
          <w:p w14:paraId="0D0336B2">
            <w:pPr>
              <w:spacing w:line="500" w:lineRule="exact"/>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一、施工期工艺流程</w:t>
            </w:r>
          </w:p>
          <w:p w14:paraId="11829203">
            <w:pPr>
              <w:spacing w:line="500" w:lineRule="exact"/>
              <w:ind w:firstLine="480" w:firstLineChars="200"/>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建设</w:t>
            </w:r>
            <w:r>
              <w:rPr>
                <w:rFonts w:ascii="Times New Roman" w:hAnsi="Times New Roman" w:eastAsia="宋体"/>
                <w:color w:val="000000" w:themeColor="text1"/>
                <w:sz w:val="24"/>
                <w:szCs w:val="21"/>
                <w:highlight w:val="none"/>
                <w14:textFill>
                  <w14:solidFill>
                    <w14:schemeClr w14:val="tx1"/>
                  </w14:solidFill>
                </w14:textFill>
              </w:rPr>
              <w:t>工程施工期间对场地平整、主体工程、设备安装、工程验收等建设工序将产生噪声、扬尘、固体废物、少量污水和废气等污染物。</w:t>
            </w:r>
          </w:p>
          <w:p w14:paraId="5C1A51D7">
            <w:pPr>
              <w:jc w:val="center"/>
              <w:rPr>
                <w:rFonts w:ascii="Times New Roman" w:hAnsi="Times New Roman" w:eastAsia="宋体"/>
                <w:color w:val="000000" w:themeColor="text1"/>
                <w:sz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4972685" cy="932815"/>
                  <wp:effectExtent l="0" t="0" r="18415" b="6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8"/>
                          <a:srcRect t="4787" b="28240"/>
                          <a:stretch>
                            <a:fillRect/>
                          </a:stretch>
                        </pic:blipFill>
                        <pic:spPr>
                          <a:xfrm>
                            <a:off x="0" y="0"/>
                            <a:ext cx="4972685" cy="932815"/>
                          </a:xfrm>
                          <a:prstGeom prst="rect">
                            <a:avLst/>
                          </a:prstGeom>
                          <a:noFill/>
                          <a:ln>
                            <a:noFill/>
                          </a:ln>
                        </pic:spPr>
                      </pic:pic>
                    </a:graphicData>
                  </a:graphic>
                </wp:inline>
              </w:drawing>
            </w:r>
          </w:p>
          <w:p w14:paraId="4F41F7B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4</w:t>
            </w:r>
            <w:r>
              <w:rPr>
                <w:rFonts w:hint="eastAsia" w:ascii="Times New Roman" w:hAnsi="Times New Roman" w:eastAsia="宋体"/>
                <w:b/>
                <w:bCs/>
                <w:color w:val="000000" w:themeColor="text1"/>
                <w:szCs w:val="21"/>
                <w:highlight w:val="none"/>
                <w14:textFill>
                  <w14:solidFill>
                    <w14:schemeClr w14:val="tx1"/>
                  </w14:solidFill>
                </w14:textFill>
              </w:rPr>
              <w:t xml:space="preserve">    施工期工艺流程</w:t>
            </w:r>
          </w:p>
          <w:p w14:paraId="4221DCB0">
            <w:pPr>
              <w:pStyle w:val="7"/>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both"/>
              <w:textAlignment w:val="auto"/>
              <w:rPr>
                <w:rFonts w:hint="default" w:ascii="Times New Roman" w:hAnsi="Times New Roman" w:cs="Times New Roman"/>
                <w:b/>
                <w:bCs/>
                <w:color w:val="000000" w:themeColor="text1"/>
                <w:sz w:val="24"/>
                <w:highlight w:val="none"/>
                <w14:textFill>
                  <w14:solidFill>
                    <w14:schemeClr w14:val="tx1"/>
                  </w14:solidFill>
                </w14:textFill>
              </w:rPr>
            </w:pPr>
            <w:r>
              <w:rPr>
                <w:rFonts w:hint="eastAsia" w:ascii="Times New Roman" w:hAnsi="Times New Roman" w:cs="Times New Roman"/>
                <w:b/>
                <w:bCs/>
                <w:color w:val="000000" w:themeColor="text1"/>
                <w:sz w:val="24"/>
                <w:highlight w:val="none"/>
                <w:lang w:val="en-US" w:eastAsia="zh-CN"/>
                <w14:textFill>
                  <w14:solidFill>
                    <w14:schemeClr w14:val="tx1"/>
                  </w14:solidFill>
                </w14:textFill>
              </w:rPr>
              <w:t>1、</w:t>
            </w:r>
            <w:r>
              <w:rPr>
                <w:rFonts w:hint="default" w:ascii="Times New Roman" w:hAnsi="Times New Roman" w:cs="Times New Roman"/>
                <w:b/>
                <w:bCs/>
                <w:color w:val="000000" w:themeColor="text1"/>
                <w:sz w:val="24"/>
                <w:highlight w:val="none"/>
                <w14:textFill>
                  <w14:solidFill>
                    <w14:schemeClr w14:val="tx1"/>
                  </w14:solidFill>
                </w14:textFill>
              </w:rPr>
              <w:t>主要工序简述</w:t>
            </w:r>
          </w:p>
          <w:p w14:paraId="37DCB06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（1）</w:t>
            </w:r>
            <w:r>
              <w:rPr>
                <w:rFonts w:ascii="Times New Roman" w:hAnsi="Times New Roman" w:eastAsia="宋体"/>
                <w:color w:val="000000" w:themeColor="text1"/>
                <w:sz w:val="24"/>
                <w:highlight w:val="none"/>
                <w14:textFill>
                  <w14:solidFill>
                    <w14:schemeClr w14:val="tx1"/>
                  </w14:solidFill>
                </w14:textFill>
              </w:rPr>
              <w:t>场地平整：</w:t>
            </w:r>
            <w:r>
              <w:rPr>
                <w:rFonts w:hint="eastAsia" w:ascii="Times New Roman" w:hAnsi="Times New Roman" w:eastAsia="宋体"/>
                <w:color w:val="000000" w:themeColor="text1"/>
                <w:sz w:val="24"/>
                <w:highlight w:val="none"/>
                <w:lang w:eastAsia="zh-CN"/>
                <w14:textFill>
                  <w14:solidFill>
                    <w14:schemeClr w14:val="tx1"/>
                  </w14:solidFill>
                </w14:textFill>
              </w:rPr>
              <w:t>根据现场踏勘，本项目原始用地初平已完成，为裸露地面，地表无植被覆盖，施工期按照场地设计标高进行地面平整硬化。同时建立必要的、能够满足施工要求的供水、排水、供电、道路以及临时建筑等基础设施。此过程中将会产生扬尘、固废、噪声、废水。</w:t>
            </w:r>
          </w:p>
          <w:p w14:paraId="7BBE4E7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主体工程：即项目建筑物框架和墙体的建设</w:t>
            </w:r>
            <w:r>
              <w:rPr>
                <w:rFonts w:hint="eastAsia" w:ascii="Times New Roman" w:hAnsi="Times New Roman" w:eastAsia="宋体"/>
                <w:color w:val="000000" w:themeColor="text1"/>
                <w:sz w:val="24"/>
                <w:highlight w:val="none"/>
                <w:lang w:eastAsia="zh-CN"/>
                <w14:textFill>
                  <w14:solidFill>
                    <w14:schemeClr w14:val="tx1"/>
                  </w14:solidFill>
                </w14:textFill>
              </w:rPr>
              <w:t>，</w:t>
            </w:r>
            <w:r>
              <w:rPr>
                <w:rFonts w:ascii="Times New Roman" w:hAnsi="Times New Roman" w:eastAsia="宋体"/>
                <w:color w:val="000000" w:themeColor="text1"/>
                <w:sz w:val="24"/>
                <w:highlight w:val="none"/>
                <w14:textFill>
                  <w14:solidFill>
                    <w14:schemeClr w14:val="tx1"/>
                  </w14:solidFill>
                </w14:textFill>
              </w:rPr>
              <w:t>以及室外墙面装饰</w:t>
            </w:r>
            <w:r>
              <w:rPr>
                <w:rFonts w:hint="eastAsia" w:ascii="Times New Roman" w:hAnsi="Times New Roman" w:eastAsia="宋体"/>
                <w:color w:val="000000" w:themeColor="text1"/>
                <w:sz w:val="24"/>
                <w:highlight w:val="none"/>
                <w:lang w:eastAsia="zh-CN"/>
                <w14:textFill>
                  <w14:solidFill>
                    <w14:schemeClr w14:val="tx1"/>
                  </w14:solidFill>
                </w14:textFill>
              </w:rPr>
              <w:t>。项目厂房为钢结构厂房，办公室等辅助用房为板房结构。主要产生噪声、扬尘、建筑垃圾、废水、生活垃圾。</w:t>
            </w:r>
          </w:p>
          <w:p w14:paraId="210A3FD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（3）</w:t>
            </w:r>
            <w:r>
              <w:rPr>
                <w:rFonts w:ascii="Times New Roman" w:hAnsi="Times New Roman" w:eastAsia="宋体"/>
                <w:color w:val="000000" w:themeColor="text1"/>
                <w:sz w:val="24"/>
                <w:highlight w:val="none"/>
                <w14:textFill>
                  <w14:solidFill>
                    <w14:schemeClr w14:val="tx1"/>
                  </w14:solidFill>
                </w14:textFill>
              </w:rPr>
              <w:t>设备安装阶段：包括设备进厂、安装及调试使用等</w:t>
            </w:r>
            <w:r>
              <w:rPr>
                <w:rFonts w:hint="eastAsia" w:ascii="Times New Roman" w:hAnsi="Times New Roman" w:eastAsia="宋体"/>
                <w:color w:val="000000" w:themeColor="text1"/>
                <w:sz w:val="24"/>
                <w:highlight w:val="none"/>
                <w:lang w:eastAsia="zh-CN"/>
                <w14:textFill>
                  <w14:solidFill>
                    <w14:schemeClr w14:val="tx1"/>
                  </w14:solidFill>
                </w14:textFill>
              </w:rPr>
              <w:t>。</w:t>
            </w:r>
          </w:p>
          <w:p w14:paraId="225C395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（4）</w:t>
            </w:r>
            <w:r>
              <w:rPr>
                <w:rFonts w:ascii="Times New Roman" w:hAnsi="Times New Roman" w:eastAsia="宋体"/>
                <w:color w:val="000000" w:themeColor="text1"/>
                <w:sz w:val="24"/>
                <w:highlight w:val="none"/>
                <w14:textFill>
                  <w14:solidFill>
                    <w14:schemeClr w14:val="tx1"/>
                  </w14:solidFill>
                </w14:textFill>
              </w:rPr>
              <w:t>工程验收：对厂区内已建设及已安装好的设备进行验收。</w:t>
            </w:r>
          </w:p>
          <w:p w14:paraId="712477F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从总体讲，该项工程在施工期以施工噪声、施工扬尘、废弃物料（废渣）和废水为主要污染物，但这些污染会随着施工的结束而结束。</w:t>
            </w:r>
          </w:p>
          <w:p w14:paraId="034AB8A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2</w:t>
            </w:r>
            <w:r>
              <w:rPr>
                <w:rFonts w:hint="default"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施工现场布置</w:t>
            </w:r>
          </w:p>
          <w:p w14:paraId="4B3ABD8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项目不设施工营地，施工单位办公及施工人员食宿就近向附近居民租房解决，为减轻施工期对环境的影响，在布置施工总平面时应遵循以下要求：</w:t>
            </w:r>
          </w:p>
          <w:p w14:paraId="2D6E21F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①施工场地采取全封闭施工的方式，施工出入口设置车辆冲洗池、简易隔油沉淀池等必要设施。</w:t>
            </w:r>
          </w:p>
          <w:p w14:paraId="50F1B65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②工程施工现场周边设置至少2.5m高连续、密闭的围墙或围栏，围挡上方每隔3m设置一个喷头，喷雾降尘。</w:t>
            </w:r>
          </w:p>
          <w:p w14:paraId="2EA41EC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③施工场地内不设置设备维修点，所有施工设备的维修、保养均依托附近场镇现有维修厂。</w:t>
            </w:r>
          </w:p>
          <w:p w14:paraId="031FECD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综上所述，项目施工期尽可能减少污染源的产生量，且各污染源点均尽可能远离项目附近散居居民，减轻项目施工期对周边环境的影响。</w:t>
            </w:r>
          </w:p>
          <w:p w14:paraId="0A0F9365">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二、运营期工艺流程</w:t>
            </w:r>
          </w:p>
          <w:p w14:paraId="59AF07E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2、混凝土生产工艺</w:t>
            </w:r>
          </w:p>
          <w:p w14:paraId="039C7A5A">
            <w:pPr>
              <w:jc w:val="center"/>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object>
                <v:shape id="_x0000_i1028" o:spt="75" type="#_x0000_t75" style="height:309.65pt;width:402.3pt;" o:ole="t" filled="f" o:preferrelative="t" stroked="f" coordsize="21600,21600">
                  <v:path/>
                  <v:fill on="f" focussize="0,0"/>
                  <v:stroke on="f"/>
                  <v:imagedata r:id="rId20" o:title=""/>
                  <o:lock v:ext="edit" aspectratio="f"/>
                  <w10:wrap type="none"/>
                  <w10:anchorlock/>
                </v:shape>
                <o:OLEObject Type="Embed" ProgID="Visio.Drawing.15" ShapeID="_x0000_i1028" DrawAspect="Content" ObjectID="_1468075728" r:id="rId19">
                  <o:LockedField>false</o:LockedField>
                </o:OLEObject>
              </w:object>
            </w: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5</w:t>
            </w:r>
            <w:r>
              <w:rPr>
                <w:rFonts w:hint="eastAsia" w:ascii="Times New Roman" w:hAnsi="Times New Roman" w:eastAsia="宋体"/>
                <w:b/>
                <w:bCs/>
                <w:color w:val="000000" w:themeColor="text1"/>
                <w:szCs w:val="21"/>
                <w:highlight w:val="none"/>
                <w14:textFill>
                  <w14:solidFill>
                    <w14:schemeClr w14:val="tx1"/>
                  </w14:solidFill>
                </w14:textFill>
              </w:rPr>
              <w:t xml:space="preserve">    混凝土生产工艺流程及产排污图</w:t>
            </w:r>
          </w:p>
          <w:p w14:paraId="07882FE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p>
          <w:p w14:paraId="37E8FC4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原辅料：</w:t>
            </w:r>
            <w:r>
              <w:rPr>
                <w:rFonts w:hint="eastAsia" w:ascii="Times New Roman" w:hAnsi="Times New Roman" w:eastAsia="宋体"/>
                <w:color w:val="000000" w:themeColor="text1"/>
                <w:sz w:val="24"/>
                <w:highlight w:val="none"/>
                <w14:textFill>
                  <w14:solidFill>
                    <w14:schemeClr w14:val="tx1"/>
                  </w14:solidFill>
                </w14:textFill>
              </w:rPr>
              <w:t>生产所需要的原料有水泥（粉料）、粉煤灰（粉料）、</w:t>
            </w:r>
            <w:r>
              <w:rPr>
                <w:rFonts w:hint="eastAsia" w:ascii="Times New Roman" w:hAnsi="Times New Roman" w:eastAsia="宋体"/>
                <w:color w:val="000000" w:themeColor="text1"/>
                <w:sz w:val="24"/>
                <w:highlight w:val="none"/>
                <w:lang w:eastAsia="zh-CN"/>
                <w14:textFill>
                  <w14:solidFill>
                    <w14:schemeClr w14:val="tx1"/>
                  </w14:solidFill>
                </w14:textFill>
              </w:rPr>
              <w:t>砂石骨料</w:t>
            </w:r>
            <w:r>
              <w:rPr>
                <w:rFonts w:hint="eastAsia" w:ascii="Times New Roman" w:hAnsi="Times New Roman" w:eastAsia="宋体"/>
                <w:color w:val="000000" w:themeColor="text1"/>
                <w:sz w:val="24"/>
                <w:highlight w:val="none"/>
                <w14:textFill>
                  <w14:solidFill>
                    <w14:schemeClr w14:val="tx1"/>
                  </w14:solidFill>
                </w14:textFill>
              </w:rPr>
              <w:t>、水</w:t>
            </w:r>
            <w:r>
              <w:rPr>
                <w:rFonts w:hint="eastAsia" w:ascii="Times New Roman" w:hAnsi="Times New Roman" w:eastAsia="宋体"/>
                <w:color w:val="000000" w:themeColor="text1"/>
                <w:sz w:val="24"/>
                <w:highlight w:val="none"/>
                <w:lang w:eastAsia="zh-CN"/>
                <w14:textFill>
                  <w14:solidFill>
                    <w14:schemeClr w14:val="tx1"/>
                  </w14:solidFill>
                </w14:textFill>
              </w:rPr>
              <w:t>等</w:t>
            </w:r>
            <w:r>
              <w:rPr>
                <w:rFonts w:hint="eastAsia" w:ascii="Times New Roman" w:hAnsi="Times New Roman" w:eastAsia="宋体"/>
                <w:color w:val="000000" w:themeColor="text1"/>
                <w:sz w:val="24"/>
                <w:highlight w:val="none"/>
                <w14:textFill>
                  <w14:solidFill>
                    <w14:schemeClr w14:val="tx1"/>
                  </w14:solidFill>
                </w14:textFill>
              </w:rPr>
              <w:t>。其中，水泥、粉煤灰等原料采用密闭罐装车运输到厂区后，压力输入相应原料筒仓内储存；</w:t>
            </w:r>
            <w:r>
              <w:rPr>
                <w:rFonts w:hint="eastAsia" w:ascii="Times New Roman" w:hAnsi="Times New Roman" w:eastAsia="宋体"/>
                <w:color w:val="000000" w:themeColor="text1"/>
                <w:sz w:val="24"/>
                <w:highlight w:val="none"/>
                <w:lang w:eastAsia="zh-CN"/>
                <w14:textFill>
                  <w14:solidFill>
                    <w14:schemeClr w14:val="tx1"/>
                  </w14:solidFill>
                </w14:textFill>
              </w:rPr>
              <w:t>砂石骨料由项目碎石加工场区生产</w:t>
            </w:r>
            <w:r>
              <w:rPr>
                <w:rFonts w:hint="eastAsia" w:ascii="Times New Roman" w:hAnsi="Times New Roman" w:eastAsia="宋体"/>
                <w:color w:val="000000" w:themeColor="text1"/>
                <w:sz w:val="24"/>
                <w:highlight w:val="none"/>
                <w14:textFill>
                  <w14:solidFill>
                    <w14:schemeClr w14:val="tx1"/>
                  </w14:solidFill>
                </w14:textFill>
              </w:rPr>
              <w:t>。</w:t>
            </w:r>
          </w:p>
          <w:p w14:paraId="5B61B64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骨料称量、输送：</w:t>
            </w:r>
            <w:r>
              <w:rPr>
                <w:rFonts w:hint="eastAsia" w:ascii="Times New Roman" w:hAnsi="Times New Roman" w:eastAsia="宋体"/>
                <w:color w:val="000000" w:themeColor="text1"/>
                <w:sz w:val="24"/>
                <w:highlight w:val="none"/>
                <w14:textFill>
                  <w14:solidFill>
                    <w14:schemeClr w14:val="tx1"/>
                  </w14:solidFill>
                </w14:textFill>
              </w:rPr>
              <w:t>混凝土生产时各种骨料用装载机经由砂石骨料成品储存仓转运至进料仓（共</w:t>
            </w:r>
            <w:r>
              <w:rPr>
                <w:rFonts w:hint="eastAsia" w:ascii="Times New Roman" w:hAnsi="Times New Roman" w:eastAsia="宋体"/>
                <w:color w:val="000000" w:themeColor="text1"/>
                <w:sz w:val="24"/>
                <w:highlight w:val="none"/>
                <w:lang w:val="en-US" w:eastAsia="zh-CN"/>
                <w14:textFill>
                  <w14:solidFill>
                    <w14:schemeClr w14:val="tx1"/>
                  </w14:solidFill>
                </w14:textFill>
              </w:rPr>
              <w:t>10</w:t>
            </w:r>
            <w:r>
              <w:rPr>
                <w:rFonts w:hint="eastAsia" w:ascii="Times New Roman" w:hAnsi="Times New Roman" w:eastAsia="宋体"/>
                <w:color w:val="000000" w:themeColor="text1"/>
                <w:sz w:val="24"/>
                <w:highlight w:val="none"/>
                <w14:textFill>
                  <w14:solidFill>
                    <w14:schemeClr w14:val="tx1"/>
                  </w14:solidFill>
                </w14:textFill>
              </w:rPr>
              <w:t>个，</w:t>
            </w:r>
            <w:r>
              <w:rPr>
                <w:rFonts w:hint="eastAsia" w:ascii="Times New Roman" w:hAnsi="Times New Roman" w:eastAsia="宋体"/>
                <w:color w:val="000000" w:themeColor="text1"/>
                <w:sz w:val="24"/>
                <w:highlight w:val="none"/>
                <w:lang w:val="en-US" w:eastAsia="zh-CN"/>
                <w14:textFill>
                  <w14:solidFill>
                    <w14:schemeClr w14:val="tx1"/>
                  </w14:solidFill>
                </w14:textFill>
              </w:rPr>
              <w:t>2.4</w:t>
            </w:r>
            <w:r>
              <w:rPr>
                <w:rFonts w:hint="eastAsia" w:ascii="Times New Roman" w:hAnsi="Times New Roman" w:eastAsia="宋体"/>
                <w:color w:val="000000" w:themeColor="text1"/>
                <w:sz w:val="24"/>
                <w:highlight w:val="none"/>
                <w14:textFill>
                  <w14:solidFill>
                    <w14:schemeClr w14:val="tx1"/>
                  </w14:solidFill>
                </w14:textFill>
              </w:rPr>
              <w:t>m</w:t>
            </w:r>
            <w:r>
              <w:rPr>
                <w:rFonts w:hint="eastAsia" w:ascii="Times New Roman" w:hAnsi="Times New Roman" w:eastAsia="宋体"/>
                <w:color w:val="000000" w:themeColor="text1"/>
                <w:sz w:val="24"/>
                <w:highlight w:val="none"/>
                <w:vertAlign w:val="superscript"/>
                <w14:textFill>
                  <w14:solidFill>
                    <w14:schemeClr w14:val="tx1"/>
                  </w14:solidFill>
                </w14:textFill>
              </w:rPr>
              <w:t>3</w:t>
            </w:r>
            <w:r>
              <w:rPr>
                <w:rFonts w:hint="eastAsia" w:ascii="Times New Roman" w:hAnsi="Times New Roman" w:eastAsia="宋体"/>
                <w:color w:val="000000" w:themeColor="text1"/>
                <w:sz w:val="24"/>
                <w:highlight w:val="none"/>
                <w14:textFill>
                  <w14:solidFill>
                    <w14:schemeClr w14:val="tx1"/>
                  </w14:solidFill>
                </w14:textFill>
              </w:rPr>
              <w:t>/个，锥形钢质结构）内，各料斗下方设置有竖直安装的两个卸料门，以实现计量时的粗称和精称，每个卸料门通过1套吊挂于卸料门底舱上的传感器进行称量，传感器发出的信号经处理后送往微机控制系统，转换变成物料重量值通过二次仪表显示出来，卸料口置于地下0.5m，骨料配料完毕，由水平皮带运输机送入倾斜式皮带运输机中，经倾斜的皮带输送至搅拌站主机的缓存料斗中备用</w:t>
            </w:r>
            <w:r>
              <w:rPr>
                <w:rFonts w:hint="eastAsia" w:ascii="Times New Roman" w:hAnsi="Times New Roman" w:eastAsia="宋体"/>
                <w:color w:val="000000" w:themeColor="text1"/>
                <w:sz w:val="24"/>
                <w:highlight w:val="none"/>
                <w:lang w:eastAsia="zh-CN"/>
                <w14:textFill>
                  <w14:solidFill>
                    <w14:schemeClr w14:val="tx1"/>
                  </w14:solidFill>
                </w14:textFill>
              </w:rPr>
              <w:t>，本项目皮带运输机均为封闭式</w:t>
            </w:r>
            <w:r>
              <w:rPr>
                <w:rFonts w:hint="eastAsia" w:ascii="Times New Roman" w:hAnsi="Times New Roman" w:eastAsia="宋体"/>
                <w:color w:val="000000" w:themeColor="text1"/>
                <w:sz w:val="24"/>
                <w:highlight w:val="none"/>
                <w14:textFill>
                  <w14:solidFill>
                    <w14:schemeClr w14:val="tx1"/>
                  </w14:solidFill>
                </w14:textFill>
              </w:rPr>
              <w:t>。</w:t>
            </w:r>
          </w:p>
          <w:p w14:paraId="63AA1E6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水泥、粉煤灰</w:t>
            </w:r>
            <w:r>
              <w:rPr>
                <w:rFonts w:hint="eastAsia" w:ascii="Times New Roman" w:hAnsi="Times New Roman" w:eastAsia="宋体"/>
                <w:b/>
                <w:bCs/>
                <w:color w:val="000000" w:themeColor="text1"/>
                <w:sz w:val="24"/>
                <w:highlight w:val="none"/>
                <w:lang w:eastAsia="zh-CN"/>
                <w14:textFill>
                  <w14:solidFill>
                    <w14:schemeClr w14:val="tx1"/>
                  </w14:solidFill>
                </w14:textFill>
              </w:rPr>
              <w:t>等粉料</w:t>
            </w:r>
            <w:r>
              <w:rPr>
                <w:rFonts w:hint="eastAsia" w:ascii="Times New Roman" w:hAnsi="Times New Roman" w:eastAsia="宋体"/>
                <w:b/>
                <w:bCs/>
                <w:color w:val="000000" w:themeColor="text1"/>
                <w:sz w:val="24"/>
                <w:highlight w:val="none"/>
                <w14:textFill>
                  <w14:solidFill>
                    <w14:schemeClr w14:val="tx1"/>
                  </w14:solidFill>
                </w14:textFill>
              </w:rPr>
              <w:t>称量、输送：</w:t>
            </w:r>
            <w:r>
              <w:rPr>
                <w:rFonts w:hint="eastAsia" w:ascii="Times New Roman" w:hAnsi="Times New Roman" w:eastAsia="宋体"/>
                <w:color w:val="000000" w:themeColor="text1"/>
                <w:sz w:val="24"/>
                <w:highlight w:val="none"/>
                <w14:textFill>
                  <w14:solidFill>
                    <w14:schemeClr w14:val="tx1"/>
                  </w14:solidFill>
                </w14:textFill>
              </w:rPr>
              <w:t>水泥、粉煤灰</w:t>
            </w:r>
            <w:r>
              <w:rPr>
                <w:rFonts w:hint="eastAsia" w:ascii="Times New Roman" w:hAnsi="Times New Roman" w:eastAsia="宋体"/>
                <w:color w:val="000000" w:themeColor="text1"/>
                <w:sz w:val="24"/>
                <w:highlight w:val="none"/>
                <w:lang w:eastAsia="zh-CN"/>
                <w14:textFill>
                  <w14:solidFill>
                    <w14:schemeClr w14:val="tx1"/>
                  </w14:solidFill>
                </w14:textFill>
              </w:rPr>
              <w:t>等粉料</w:t>
            </w:r>
            <w:r>
              <w:rPr>
                <w:rFonts w:hint="eastAsia" w:ascii="Times New Roman" w:hAnsi="Times New Roman" w:eastAsia="宋体"/>
                <w:color w:val="000000" w:themeColor="text1"/>
                <w:sz w:val="24"/>
                <w:highlight w:val="none"/>
                <w14:textFill>
                  <w14:solidFill>
                    <w14:schemeClr w14:val="tx1"/>
                  </w14:solidFill>
                </w14:textFill>
              </w:rPr>
              <w:t>储存于储料罐内，需要时开启蝶阀，粉料落入密闭螺旋给料机，由螺旋给料机送入搅拌楼，经相应的称量斗称量后由闸门控制进入搅拌机，此过程全密闭，会产生噪声。</w:t>
            </w:r>
          </w:p>
          <w:p w14:paraId="263AF1D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外加剂、水称量、输送：</w:t>
            </w:r>
            <w:r>
              <w:rPr>
                <w:rFonts w:hint="eastAsia" w:ascii="Times New Roman" w:hAnsi="Times New Roman" w:eastAsia="宋体"/>
                <w:color w:val="000000" w:themeColor="text1"/>
                <w:sz w:val="24"/>
                <w:highlight w:val="none"/>
                <w14:textFill>
                  <w14:solidFill>
                    <w14:schemeClr w14:val="tx1"/>
                  </w14:solidFill>
                </w14:textFill>
              </w:rPr>
              <w:t>外加剂和水均由相应的计量称称量，由水泵均匀的送入搅拌机。</w:t>
            </w:r>
          </w:p>
          <w:p w14:paraId="4811A24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搅拌</w:t>
            </w:r>
            <w:r>
              <w:rPr>
                <w:rFonts w:hint="eastAsia" w:ascii="Times New Roman" w:hAnsi="Times New Roman" w:eastAsia="宋体"/>
                <w:b/>
                <w:bCs/>
                <w:color w:val="000000" w:themeColor="text1"/>
                <w:sz w:val="24"/>
                <w:highlight w:val="none"/>
                <w14:textFill>
                  <w14:solidFill>
                    <w14:schemeClr w14:val="tx1"/>
                  </w14:solidFill>
                </w14:textFill>
              </w:rPr>
              <w:t>：</w:t>
            </w:r>
            <w:r>
              <w:rPr>
                <w:rFonts w:ascii="Times New Roman" w:hAnsi="Times New Roman" w:eastAsia="宋体"/>
                <w:color w:val="000000" w:themeColor="text1"/>
                <w:sz w:val="24"/>
                <w:highlight w:val="none"/>
                <w14:textFill>
                  <w14:solidFill>
                    <w14:schemeClr w14:val="tx1"/>
                  </w14:solidFill>
                </w14:textFill>
              </w:rPr>
              <w:t>搅拌过程在封闭的站房内完成。本项目混凝土搅拌机为立轴行星式搅拌机，采用微机控制，集运作、监控、管理于一体。搅拌机配备多重轴端密封保护装置及风压密封保护装置，并置于封闭的站房内，有效杜绝漏浆现象发生。独有的搅拌机监控系统可随时监控减速箱、卸料泵、电动润滑油泵的工作状态。</w:t>
            </w:r>
          </w:p>
          <w:p w14:paraId="1EB34B2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各种骨料、粉料（水泥、粉煤灰）、水和减水剂配料完毕后，微机操控各缓存料斗和称量斗同时将各物料加入搅拌机中进行搅拌（搅拌过程在封闭的站房内完成）</w:t>
            </w:r>
            <w:r>
              <w:rPr>
                <w:rFonts w:hint="eastAsia" w:ascii="Times New Roman" w:hAnsi="Times New Roman" w:eastAsia="宋体"/>
                <w:color w:val="000000" w:themeColor="text1"/>
                <w:sz w:val="24"/>
                <w:highlight w:val="none"/>
                <w:lang w:eastAsia="zh-CN"/>
                <w14:textFill>
                  <w14:solidFill>
                    <w14:schemeClr w14:val="tx1"/>
                  </w14:solidFill>
                </w14:textFill>
              </w:rPr>
              <w:t>，站房内设置布袋除尘装置及喷雾降尘装置</w:t>
            </w:r>
            <w:r>
              <w:rPr>
                <w:rFonts w:ascii="Times New Roman" w:hAnsi="Times New Roman" w:eastAsia="宋体"/>
                <w:color w:val="000000" w:themeColor="text1"/>
                <w:sz w:val="24"/>
                <w:highlight w:val="none"/>
                <w14:textFill>
                  <w14:solidFill>
                    <w14:schemeClr w14:val="tx1"/>
                  </w14:solidFill>
                </w14:textFill>
              </w:rPr>
              <w:t>。</w:t>
            </w:r>
          </w:p>
          <w:p w14:paraId="4349FE6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该环节主要污染物为混凝土搅拌机清洗产生的清洗废水及搅拌过程中产生的噪声。</w:t>
            </w:r>
          </w:p>
          <w:p w14:paraId="4B43AC7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混凝土运输：</w:t>
            </w:r>
            <w:r>
              <w:rPr>
                <w:rFonts w:ascii="Times New Roman" w:hAnsi="Times New Roman" w:eastAsia="宋体"/>
                <w:color w:val="000000" w:themeColor="text1"/>
                <w:sz w:val="24"/>
                <w:highlight w:val="none"/>
                <w14:textFill>
                  <w14:solidFill>
                    <w14:schemeClr w14:val="tx1"/>
                  </w14:solidFill>
                </w14:textFill>
              </w:rPr>
              <w:t>搅拌完毕后关闭搅拌机，打开搅拌机底部的放料口，成品即从放料口落入正下方的混凝土运输罐车料斗。该环节主要污染物为混凝土罐车清洗产生的清洗废水以及混凝土运输过程中产生的噪声。</w:t>
            </w:r>
          </w:p>
          <w:p w14:paraId="4B56D47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2、钢筋结构件生产工艺</w:t>
            </w:r>
          </w:p>
          <w:p w14:paraId="755AF44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2360930" cy="2917825"/>
                  <wp:effectExtent l="0" t="0" r="1270" b="1587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1"/>
                          <a:stretch>
                            <a:fillRect/>
                          </a:stretch>
                        </pic:blipFill>
                        <pic:spPr>
                          <a:xfrm>
                            <a:off x="0" y="0"/>
                            <a:ext cx="2360930" cy="2917825"/>
                          </a:xfrm>
                          <a:prstGeom prst="rect">
                            <a:avLst/>
                          </a:prstGeom>
                          <a:noFill/>
                          <a:ln>
                            <a:noFill/>
                          </a:ln>
                        </pic:spPr>
                      </pic:pic>
                    </a:graphicData>
                  </a:graphic>
                </wp:inline>
              </w:drawing>
            </w:r>
          </w:p>
          <w:p w14:paraId="2F87091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b/>
                <w:bCs/>
                <w:color w:val="000000" w:themeColor="text1"/>
                <w:sz w:val="21"/>
                <w:szCs w:val="20"/>
                <w:highlight w:val="none"/>
                <w14:textFill>
                  <w14:solidFill>
                    <w14:schemeClr w14:val="tx1"/>
                  </w14:solidFill>
                </w14:textFill>
              </w:rPr>
            </w:pPr>
            <w:r>
              <w:rPr>
                <w:rFonts w:hint="eastAsia" w:ascii="Times New Roman" w:hAnsi="Times New Roman" w:eastAsia="宋体"/>
                <w:b/>
                <w:bCs/>
                <w:color w:val="000000" w:themeColor="text1"/>
                <w:sz w:val="21"/>
                <w:szCs w:val="20"/>
                <w:highlight w:val="none"/>
                <w14:textFill>
                  <w14:solidFill>
                    <w14:schemeClr w14:val="tx1"/>
                  </w14:solidFill>
                </w14:textFill>
              </w:rPr>
              <w:t>图2</w:t>
            </w:r>
            <w:r>
              <w:rPr>
                <w:rFonts w:hint="eastAsia" w:ascii="Times New Roman" w:hAnsi="Times New Roman" w:eastAsia="宋体"/>
                <w:b/>
                <w:bCs/>
                <w:color w:val="000000" w:themeColor="text1"/>
                <w:sz w:val="21"/>
                <w:szCs w:val="20"/>
                <w:highlight w:val="none"/>
                <w:lang w:val="en-US" w:eastAsia="zh-CN"/>
                <w14:textFill>
                  <w14:solidFill>
                    <w14:schemeClr w14:val="tx1"/>
                  </w14:solidFill>
                </w14:textFill>
              </w:rPr>
              <w:t>-6</w:t>
            </w:r>
            <w:r>
              <w:rPr>
                <w:rFonts w:hint="eastAsia" w:ascii="Times New Roman" w:hAnsi="Times New Roman" w:eastAsia="宋体"/>
                <w:b/>
                <w:bCs/>
                <w:color w:val="000000" w:themeColor="text1"/>
                <w:sz w:val="21"/>
                <w:szCs w:val="20"/>
                <w:highlight w:val="none"/>
                <w14:textFill>
                  <w14:solidFill>
                    <w14:schemeClr w14:val="tx1"/>
                  </w14:solidFill>
                </w14:textFill>
              </w:rPr>
              <w:t xml:space="preserve">    钢筋结构件生产工艺流程</w:t>
            </w:r>
          </w:p>
          <w:p w14:paraId="0B12874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p>
          <w:p w14:paraId="5BA89A1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运输储存</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项目所需钢筋由运输汽车从外部运往钢筋厂内，厂内仅储存少量钢筋，采用边生产、边外购钢筋原料的方式生产钢筋加工件。此步骤产生噪声。</w:t>
            </w:r>
          </w:p>
          <w:p w14:paraId="10168F6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钢筋备料</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钢筋表面的油渍，漆污，水泥浆和用锤敲击能剥落的浮皮，铁锈等均应清理干净，钢筋应平直，无局部弯折。此步骤产生噪声及废金属屑。</w:t>
            </w:r>
          </w:p>
          <w:p w14:paraId="1052BE0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下料、加工</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弯曲钢筋下料长度=总长度(扣除保护层后，钢筋外皮尺寸)+斜段增加长度-弯折量度差+端部弯钩增长值（根据设计图计算，设计无规定时设标准弯钩），箍筋下料长度=箍筋周长-10d箍筋直径+箍脚长度(不小于5d和50mm)。根据下料长度和设计图纸编制配料单，钢架下料依据配料单进行。使用切断机断料时不能超过机械的负载能力，在活动刀片前进时禁止送料，送料时距离刀口的距离不得小于15mm。此步骤产生噪声及废金属屑。</w:t>
            </w:r>
          </w:p>
          <w:p w14:paraId="4FDBBB69">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焊接</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经初步加工后的钢筋再通过</w:t>
            </w:r>
            <w:r>
              <w:rPr>
                <w:rFonts w:hint="default" w:ascii="Times New Roman" w:hAnsi="Times New Roman" w:eastAsia="宋体" w:cs="Times New Roman"/>
                <w:color w:val="000000" w:themeColor="text1"/>
                <w:sz w:val="24"/>
                <w:szCs w:val="24"/>
                <w:highlight w:val="none"/>
                <w14:textFill>
                  <w14:solidFill>
                    <w14:schemeClr w14:val="tx1"/>
                  </w14:solidFill>
                </w14:textFill>
              </w:rPr>
              <w:t>钢筋笼滚焊机</w:t>
            </w:r>
            <w:r>
              <w:rPr>
                <w:rFonts w:hint="eastAsia" w:ascii="Times New Roman" w:hAnsi="Times New Roman" w:eastAsia="宋体"/>
                <w:b w:val="0"/>
                <w:bCs w:val="0"/>
                <w:color w:val="000000" w:themeColor="text1"/>
                <w:sz w:val="24"/>
                <w:highlight w:val="none"/>
                <w14:textFill>
                  <w14:solidFill>
                    <w14:schemeClr w14:val="tx1"/>
                  </w14:solidFill>
                </w14:textFill>
              </w:rPr>
              <w:t>进行焊接，此步骤使用焊料将产生焊烟尘排放，还会产生噪声及焊渣。钢筋加工厂房全密闭，并设置</w:t>
            </w:r>
            <w:r>
              <w:rPr>
                <w:rFonts w:hint="eastAsia" w:ascii="Times New Roman" w:hAnsi="Times New Roman" w:eastAsia="宋体"/>
                <w:b w:val="0"/>
                <w:bCs w:val="0"/>
                <w:color w:val="000000" w:themeColor="text1"/>
                <w:sz w:val="24"/>
                <w:highlight w:val="none"/>
                <w:lang w:val="en-US" w:eastAsia="zh-CN"/>
                <w14:textFill>
                  <w14:solidFill>
                    <w14:schemeClr w14:val="tx1"/>
                  </w14:solidFill>
                </w14:textFill>
              </w:rPr>
              <w:t>2</w:t>
            </w:r>
            <w:r>
              <w:rPr>
                <w:rFonts w:hint="eastAsia" w:ascii="Times New Roman" w:hAnsi="Times New Roman" w:eastAsia="宋体"/>
                <w:b w:val="0"/>
                <w:bCs w:val="0"/>
                <w:color w:val="000000" w:themeColor="text1"/>
                <w:sz w:val="24"/>
                <w:highlight w:val="none"/>
                <w14:textFill>
                  <w14:solidFill>
                    <w14:schemeClr w14:val="tx1"/>
                  </w14:solidFill>
                </w14:textFill>
              </w:rPr>
              <w:t>台移动式焊烟除尘装置收集处理焊接产生的焊烟。</w:t>
            </w:r>
          </w:p>
          <w:p w14:paraId="6875DF4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eastAsia="zh-CN"/>
                <w14:textFill>
                  <w14:solidFill>
                    <w14:schemeClr w14:val="tx1"/>
                  </w14:solidFill>
                </w14:textFill>
              </w:rPr>
              <w:t>检验：</w:t>
            </w:r>
            <w:r>
              <w:rPr>
                <w:rFonts w:hint="eastAsia" w:ascii="Times New Roman" w:hAnsi="Times New Roman" w:eastAsia="宋体"/>
                <w:b w:val="0"/>
                <w:bCs w:val="0"/>
                <w:color w:val="000000" w:themeColor="text1"/>
                <w:sz w:val="24"/>
                <w:highlight w:val="none"/>
                <w14:textFill>
                  <w14:solidFill>
                    <w14:schemeClr w14:val="tx1"/>
                  </w14:solidFill>
                </w14:textFill>
              </w:rPr>
              <w:t>检验钢筋焊接强度、规格是否达标，达标的</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采用</w:t>
            </w:r>
            <w:r>
              <w:rPr>
                <w:rFonts w:hint="default" w:ascii="Times New Roman" w:hAnsi="Times New Roman" w:eastAsia="宋体" w:cs="Times New Roman"/>
                <w:color w:val="000000" w:themeColor="text1"/>
                <w:sz w:val="24"/>
                <w:szCs w:val="24"/>
                <w:highlight w:val="none"/>
                <w14:textFill>
                  <w14:solidFill>
                    <w14:schemeClr w14:val="tx1"/>
                  </w14:solidFill>
                </w14:textFill>
              </w:rPr>
              <w:t>滚丝机</w:t>
            </w:r>
            <w:r>
              <w:rPr>
                <w:rFonts w:hint="eastAsia" w:ascii="Times New Roman" w:hAnsi="Times New Roman" w:eastAsia="宋体"/>
                <w:b w:val="0"/>
                <w:bCs w:val="0"/>
                <w:color w:val="000000" w:themeColor="text1"/>
                <w:sz w:val="24"/>
                <w:highlight w:val="none"/>
                <w14:textFill>
                  <w14:solidFill>
                    <w14:schemeClr w14:val="tx1"/>
                  </w14:solidFill>
                </w14:textFill>
              </w:rPr>
              <w:t>绑扎好即送存放区存放，等待出运。不达标的进行重新加工。</w:t>
            </w:r>
          </w:p>
          <w:p w14:paraId="16DC47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val="0"/>
                <w:bCs w:val="0"/>
                <w:color w:val="000000" w:themeColor="text1"/>
                <w:sz w:val="24"/>
                <w:highlight w:val="none"/>
                <w14:textFill>
                  <w14:solidFill>
                    <w14:schemeClr w14:val="tx1"/>
                  </w14:solidFill>
                </w14:textFill>
              </w:rPr>
              <w:t>加工好的钢筋应编号，分类存放，并做好标识。钢筋存放场地需进行硬化，有防雨防潮措施。</w:t>
            </w:r>
          </w:p>
          <w:p w14:paraId="43DEDF5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外运</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检验合格的钢筋运往工地或制梁</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场</w:t>
            </w:r>
            <w:r>
              <w:rPr>
                <w:rFonts w:hint="eastAsia" w:ascii="Times New Roman" w:hAnsi="Times New Roman" w:eastAsia="宋体"/>
                <w:b w:val="0"/>
                <w:bCs w:val="0"/>
                <w:color w:val="000000" w:themeColor="text1"/>
                <w:sz w:val="24"/>
                <w:highlight w:val="none"/>
                <w14:textFill>
                  <w14:solidFill>
                    <w14:schemeClr w14:val="tx1"/>
                  </w14:solidFill>
                </w14:textFill>
              </w:rPr>
              <w:t>进行施工使用。</w:t>
            </w:r>
          </w:p>
          <w:p w14:paraId="7E8D0B0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3、预制梁生产工艺</w:t>
            </w:r>
          </w:p>
          <w:p w14:paraId="13B8C4D1">
            <w:pPr>
              <w:jc w:val="center"/>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object>
                <v:shape id="_x0000_i1029" o:spt="75" type="#_x0000_t75" style="height:458.4pt;width:383.7pt;" o:ole="t" filled="f" o:preferrelative="t" stroked="f" coordsize="21600,21600">
                  <v:path/>
                  <v:fill on="f" focussize="0,0"/>
                  <v:stroke on="f"/>
                  <v:imagedata r:id="rId23" o:title=""/>
                  <o:lock v:ext="edit" aspectratio="f"/>
                  <w10:wrap type="none"/>
                  <w10:anchorlock/>
                </v:shape>
                <o:OLEObject Type="Embed" ProgID="Visio.Drawing.15" ShapeID="_x0000_i1029" DrawAspect="Content" ObjectID="_1468075729" r:id="rId22">
                  <o:LockedField>false</o:LockedField>
                </o:OLEObject>
              </w:object>
            </w:r>
          </w:p>
          <w:p w14:paraId="30592CB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7</w:t>
            </w:r>
            <w:r>
              <w:rPr>
                <w:rFonts w:hint="eastAsia" w:ascii="Times New Roman" w:hAnsi="Times New Roman" w:eastAsia="宋体"/>
                <w:b/>
                <w:bCs/>
                <w:color w:val="000000" w:themeColor="text1"/>
                <w:szCs w:val="21"/>
                <w:highlight w:val="none"/>
                <w14:textFill>
                  <w14:solidFill>
                    <w14:schemeClr w14:val="tx1"/>
                  </w14:solidFill>
                </w14:textFill>
              </w:rPr>
              <w:t xml:space="preserve">     预制梁生产工艺流程及产排污图</w:t>
            </w:r>
          </w:p>
          <w:p w14:paraId="49B582A6">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p>
          <w:p w14:paraId="033F1B7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钢筋骨架制作：</w:t>
            </w:r>
            <w:r>
              <w:rPr>
                <w:rFonts w:hint="eastAsia" w:ascii="Times New Roman" w:hAnsi="Times New Roman" w:eastAsia="宋体"/>
                <w:color w:val="000000" w:themeColor="text1"/>
                <w:sz w:val="24"/>
                <w:highlight w:val="none"/>
                <w14:textFill>
                  <w14:solidFill>
                    <w14:schemeClr w14:val="tx1"/>
                  </w14:solidFill>
                </w14:textFill>
              </w:rPr>
              <w:t>将外购的钢筋条利用</w:t>
            </w:r>
            <w:r>
              <w:rPr>
                <w:rFonts w:hint="eastAsia" w:ascii="Times New Roman" w:hAnsi="Times New Roman" w:eastAsia="宋体"/>
                <w:b w:val="0"/>
                <w:bCs w:val="0"/>
                <w:color w:val="000000" w:themeColor="text1"/>
                <w:sz w:val="24"/>
                <w:highlight w:val="none"/>
                <w14:textFill>
                  <w14:solidFill>
                    <w14:schemeClr w14:val="tx1"/>
                  </w14:solidFill>
                </w14:textFill>
              </w:rPr>
              <w:t>全自动液压钢筋调直切断机</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、数控钢筋弯曲中心、</w:t>
            </w:r>
            <w:r>
              <w:rPr>
                <w:rFonts w:hint="eastAsia" w:ascii="Times New Roman" w:hAnsi="Times New Roman" w:eastAsia="宋体"/>
                <w:b w:val="0"/>
                <w:bCs w:val="0"/>
                <w:color w:val="000000" w:themeColor="text1"/>
                <w:sz w:val="24"/>
                <w:highlight w:val="none"/>
                <w14:textFill>
                  <w14:solidFill>
                    <w14:schemeClr w14:val="tx1"/>
                  </w14:solidFill>
                </w14:textFill>
              </w:rPr>
              <w:t>数控钢筋弯箍机</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等设备</w:t>
            </w:r>
            <w:r>
              <w:rPr>
                <w:rFonts w:hint="eastAsia" w:ascii="Times New Roman" w:hAnsi="Times New Roman" w:eastAsia="宋体"/>
                <w:color w:val="000000" w:themeColor="text1"/>
                <w:sz w:val="24"/>
                <w:highlight w:val="none"/>
                <w14:textFill>
                  <w14:solidFill>
                    <w14:schemeClr w14:val="tx1"/>
                  </w14:solidFill>
                </w14:textFill>
              </w:rPr>
              <w:t>及人工捆绑将钢筋制成所需的形状，该工序产生的污染物主要为焊接烟尘、焊渣、废钢筋及设备噪声；</w:t>
            </w:r>
          </w:p>
          <w:p w14:paraId="30C9A76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喷脱模剂：</w:t>
            </w:r>
            <w:r>
              <w:rPr>
                <w:rFonts w:hint="eastAsia" w:ascii="Times New Roman" w:hAnsi="Times New Roman" w:eastAsia="宋体"/>
                <w:color w:val="000000" w:themeColor="text1"/>
                <w:sz w:val="24"/>
                <w:highlight w:val="none"/>
                <w14:textFill>
                  <w14:solidFill>
                    <w14:schemeClr w14:val="tx1"/>
                  </w14:solidFill>
                </w14:textFill>
              </w:rPr>
              <w:t>人工利用喷雾器将脱模剂均匀的喷洒在模具内，使用脱模剂可以防止产品表面缺陷的产生，并使混凝土外表光洁，脱模剂属乳化油类隔离剂，石油润滑油，乳化剂、稳定剂等配置而成，常温下不考虑脱模剂挥发。</w:t>
            </w:r>
          </w:p>
          <w:p w14:paraId="3B8A20E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钢筋笼</w:t>
            </w:r>
            <w:r>
              <w:rPr>
                <w:rFonts w:hint="eastAsia" w:ascii="Times New Roman" w:hAnsi="Times New Roman" w:eastAsia="宋体"/>
                <w:b/>
                <w:bCs/>
                <w:color w:val="000000" w:themeColor="text1"/>
                <w:sz w:val="24"/>
                <w:highlight w:val="none"/>
                <w:lang w:eastAsia="zh-CN"/>
                <w14:textFill>
                  <w14:solidFill>
                    <w14:schemeClr w14:val="tx1"/>
                  </w14:solidFill>
                </w14:textFill>
              </w:rPr>
              <w:t>（钢筋骨架）</w:t>
            </w:r>
            <w:r>
              <w:rPr>
                <w:rFonts w:hint="eastAsia" w:ascii="Times New Roman" w:hAnsi="Times New Roman" w:eastAsia="宋体"/>
                <w:b/>
                <w:bCs/>
                <w:color w:val="000000" w:themeColor="text1"/>
                <w:sz w:val="24"/>
                <w:highlight w:val="none"/>
                <w14:textFill>
                  <w14:solidFill>
                    <w14:schemeClr w14:val="tx1"/>
                  </w14:solidFill>
                </w14:textFill>
              </w:rPr>
              <w:t>安装：</w:t>
            </w:r>
            <w:r>
              <w:rPr>
                <w:rFonts w:hint="eastAsia" w:ascii="Times New Roman" w:hAnsi="Times New Roman" w:eastAsia="宋体"/>
                <w:color w:val="000000" w:themeColor="text1"/>
                <w:sz w:val="24"/>
                <w:highlight w:val="none"/>
                <w14:textFill>
                  <w14:solidFill>
                    <w14:schemeClr w14:val="tx1"/>
                  </w14:solidFill>
                </w14:textFill>
              </w:rPr>
              <w:t>梁内波纹管用“＃”形定位钢筋定位，固定端模处用特制的堵头通过螺栓固定在固定端模上，匹配面处则通过在波纹管内穿入外径比波纹管内径小3～5mm的PPR管定位。堵头在钢筋骨架吊装入模前在钢筋绑扎台座上安装好，并用密封胶带密封。该工序中特别注意焊接波纹管定位钢筋时损坏波纹管，定位筋焊接完成后作业人员必须仔细检查波纹管有无损伤，有损伤的立即用密封胶带密封。</w:t>
            </w:r>
          </w:p>
          <w:p w14:paraId="06477D0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混凝土浇筑：</w:t>
            </w:r>
            <w:r>
              <w:rPr>
                <w:rFonts w:hint="eastAsia" w:ascii="Times New Roman" w:hAnsi="Times New Roman" w:eastAsia="宋体"/>
                <w:color w:val="000000" w:themeColor="text1"/>
                <w:sz w:val="24"/>
                <w:highlight w:val="none"/>
                <w14:textFill>
                  <w14:solidFill>
                    <w14:schemeClr w14:val="tx1"/>
                  </w14:solidFill>
                </w14:textFill>
              </w:rPr>
              <w:t>本项目产生的混凝土一部分用于城南高速公路浇筑，一部分到预制厂生产预制件。由过罐车运至浇筑区浇筑，人工用铁锹铲去面层多余的混凝土，以保证面层平整；预制厂</w:t>
            </w:r>
            <w:r>
              <w:rPr>
                <w:rFonts w:hint="eastAsia" w:ascii="Times New Roman" w:hAnsi="Times New Roman" w:eastAsia="宋体"/>
                <w:color w:val="000000" w:themeColor="text1"/>
                <w:sz w:val="24"/>
                <w:highlight w:val="none"/>
                <w:lang w:eastAsia="zh-CN"/>
                <w14:textFill>
                  <w14:solidFill>
                    <w14:schemeClr w14:val="tx1"/>
                  </w14:solidFill>
                </w14:textFill>
              </w:rPr>
              <w:t>内于振动台上方浇筑。</w:t>
            </w:r>
          </w:p>
          <w:p w14:paraId="2CC5651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olor w:val="000000" w:themeColor="text1"/>
                <w:sz w:val="24"/>
                <w:highlight w:val="none"/>
                <w:lang w:val="en-US" w:eastAsia="zh-CN"/>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混凝土养护：</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夏季养护：</w:t>
            </w:r>
            <w:r>
              <w:rPr>
                <w:rFonts w:hint="eastAsia" w:ascii="Times New Roman" w:hAnsi="Times New Roman" w:eastAsia="宋体"/>
                <w:color w:val="000000" w:themeColor="text1"/>
                <w:sz w:val="24"/>
                <w:highlight w:val="none"/>
                <w14:textFill>
                  <w14:solidFill>
                    <w14:schemeClr w14:val="tx1"/>
                  </w14:solidFill>
                </w14:textFill>
              </w:rPr>
              <w:t>将半成品利用行吊车置于养护棚中进行自然养护，养护棚为密闭区域，养护时需人工对其浇水，每天浇一次，养护时间为1天；</w:t>
            </w:r>
            <w:r>
              <w:rPr>
                <w:rFonts w:hint="eastAsia" w:ascii="Times New Roman" w:hAnsi="Times New Roman" w:eastAsia="宋体"/>
                <w:color w:val="000000" w:themeColor="text1"/>
                <w:sz w:val="24"/>
                <w:highlight w:val="none"/>
                <w:lang w:eastAsia="zh-CN"/>
                <w14:textFill>
                  <w14:solidFill>
                    <w14:schemeClr w14:val="tx1"/>
                  </w14:solidFill>
                </w14:textFill>
              </w:rPr>
              <w:t>冬季养护：采用蒸汽发生器养护混凝土，温度</w:t>
            </w:r>
            <w:r>
              <w:rPr>
                <w:rFonts w:hint="eastAsia" w:ascii="Times New Roman" w:hAnsi="Times New Roman" w:eastAsia="宋体"/>
                <w:color w:val="000000" w:themeColor="text1"/>
                <w:sz w:val="24"/>
                <w:highlight w:val="none"/>
                <w:lang w:val="en-US" w:eastAsia="zh-CN"/>
                <w14:textFill>
                  <w14:solidFill>
                    <w14:schemeClr w14:val="tx1"/>
                  </w14:solidFill>
                </w14:textFill>
              </w:rPr>
              <w:t>20~30</w:t>
            </w:r>
            <w:r>
              <w:rPr>
                <w:rFonts w:hint="eastAsia" w:ascii="宋体" w:hAnsi="宋体" w:eastAsia="宋体" w:cs="宋体"/>
                <w:color w:val="000000" w:themeColor="text1"/>
                <w:sz w:val="24"/>
                <w:highlight w:val="none"/>
                <w:lang w:val="en-US" w:eastAsia="zh-CN"/>
                <w14:textFill>
                  <w14:solidFill>
                    <w14:schemeClr w14:val="tx1"/>
                  </w14:solidFill>
                </w14:textFill>
              </w:rPr>
              <w:t>℃；</w:t>
            </w:r>
          </w:p>
          <w:p w14:paraId="65A6319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模板拆除：</w:t>
            </w:r>
            <w:r>
              <w:rPr>
                <w:rFonts w:ascii="宋体" w:hAnsi="宋体" w:eastAsia="宋体" w:cs="宋体"/>
                <w:color w:val="000000" w:themeColor="text1"/>
                <w:sz w:val="24"/>
                <w:szCs w:val="24"/>
                <w:highlight w:val="none"/>
                <w14:textFill>
                  <w14:solidFill>
                    <w14:schemeClr w14:val="tx1"/>
                  </w14:solidFill>
                </w14:textFill>
              </w:rPr>
              <w:t>将养护后的模具缓慢的翻转，平放至托板处，利用气泵将预制构件脱模，</w:t>
            </w:r>
            <w:r>
              <w:rPr>
                <w:rFonts w:hint="eastAsia" w:ascii="宋体" w:hAnsi="宋体" w:eastAsia="宋体" w:cs="宋体"/>
                <w:color w:val="000000" w:themeColor="text1"/>
                <w:sz w:val="24"/>
                <w:szCs w:val="24"/>
                <w:highlight w:val="none"/>
                <w14:textFill>
                  <w14:solidFill>
                    <w14:schemeClr w14:val="tx1"/>
                  </w14:solidFill>
                </w14:textFill>
              </w:rPr>
              <w:t>模板拆除时先拆除内模，然后拆除外侧模，最后脱开匹配面</w:t>
            </w:r>
            <w:r>
              <w:rPr>
                <w:rFonts w:ascii="宋体" w:hAnsi="宋体" w:eastAsia="宋体" w:cs="宋体"/>
                <w:color w:val="000000" w:themeColor="text1"/>
                <w:sz w:val="24"/>
                <w:szCs w:val="24"/>
                <w:highlight w:val="none"/>
                <w14:textFill>
                  <w14:solidFill>
                    <w14:schemeClr w14:val="tx1"/>
                  </w14:solidFill>
                </w14:textFill>
              </w:rPr>
              <w:t>；</w:t>
            </w:r>
          </w:p>
          <w:p w14:paraId="5C3640C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模板拆除注意事项：</w:t>
            </w:r>
          </w:p>
          <w:p w14:paraId="1DF49B9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①模板拆除注意成品保护，严禁野蛮施工造成混凝土缺损。</w:t>
            </w:r>
          </w:p>
          <w:p w14:paraId="03EAA9F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②操作底模台车上的千斤顶使匹配梁与新浇梁脱开时，必须点动操作，避免造成剪力键损坏。</w:t>
            </w:r>
          </w:p>
          <w:p w14:paraId="2EE6B61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③拆除后不用的模板应立即清理干净后分类整齐堆放于模板堆场，不得随处乱放。</w:t>
            </w:r>
          </w:p>
          <w:p w14:paraId="400B74A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清理孔道：</w:t>
            </w:r>
            <w:r>
              <w:rPr>
                <w:rFonts w:hint="eastAsia" w:ascii="Times New Roman" w:hAnsi="Times New Roman" w:eastAsia="宋体"/>
                <w:color w:val="000000" w:themeColor="text1"/>
                <w:sz w:val="24"/>
                <w:highlight w:val="none"/>
                <w14:textFill>
                  <w14:solidFill>
                    <w14:schemeClr w14:val="tx1"/>
                  </w14:solidFill>
                </w14:textFill>
              </w:rPr>
              <w:t>采取人工清理孔道多余混凝土，该工序产生的污染物主要为固体废物；</w:t>
            </w:r>
          </w:p>
          <w:p w14:paraId="47F50AA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预应力筋穿束、张拉：</w:t>
            </w:r>
            <w:r>
              <w:rPr>
                <w:rFonts w:hint="eastAsia" w:ascii="Times New Roman" w:hAnsi="Times New Roman" w:eastAsia="宋体"/>
                <w:color w:val="000000" w:themeColor="text1"/>
                <w:sz w:val="24"/>
                <w:highlight w:val="none"/>
                <w14:textFill>
                  <w14:solidFill>
                    <w14:schemeClr w14:val="tx1"/>
                  </w14:solidFill>
                </w14:textFill>
              </w:rPr>
              <w:t>采取人工将钢绞线穿入预制件预应力孔道，然后采用群锚大吨位预应力张拉设备进行张拉，经检验合格后，再进行预应力钢筋孔道注浆、封锚。</w:t>
            </w:r>
          </w:p>
          <w:p w14:paraId="262AE84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压浆：</w:t>
            </w:r>
            <w:r>
              <w:rPr>
                <w:rFonts w:hint="eastAsia" w:ascii="Times New Roman" w:hAnsi="Times New Roman" w:eastAsia="宋体"/>
                <w:color w:val="000000" w:themeColor="text1"/>
                <w:sz w:val="24"/>
                <w:highlight w:val="none"/>
                <w14:textFill>
                  <w14:solidFill>
                    <w14:schemeClr w14:val="tx1"/>
                  </w14:solidFill>
                </w14:textFill>
              </w:rPr>
              <w:t>孔道压浆采用真空压浆工艺，在孔道的一段采用真空泵对孔道进行抽真空，使之产生真空度，然后用压浆泵将优化后的水泥浆从孔道的另一端压入，直至充满整条孔道，并加以正压力，以提高预应力孔道压浆的饱满度和密实度。</w:t>
            </w:r>
          </w:p>
          <w:p w14:paraId="6439F32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封锚：</w:t>
            </w:r>
            <w:r>
              <w:rPr>
                <w:rFonts w:hint="eastAsia" w:ascii="Times New Roman" w:hAnsi="Times New Roman" w:eastAsia="宋体"/>
                <w:color w:val="000000" w:themeColor="text1"/>
                <w:sz w:val="24"/>
                <w:highlight w:val="none"/>
                <w14:textFill>
                  <w14:solidFill>
                    <w14:schemeClr w14:val="tx1"/>
                  </w14:solidFill>
                </w14:textFill>
              </w:rPr>
              <w:t>封锚混凝土分几次填塞，保证填塞密实，并用钢筋棍捣密实，封锚混凝土养护结束之后，在锚穴的外部涂以聚氨酯防水涂料，涂刷范围为底板、腹板梁端。</w:t>
            </w:r>
          </w:p>
          <w:p w14:paraId="2C5D8AA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存梁和出梁：</w:t>
            </w:r>
            <w:r>
              <w:rPr>
                <w:rFonts w:hint="eastAsia" w:ascii="Times New Roman" w:hAnsi="Times New Roman" w:eastAsia="宋体"/>
                <w:color w:val="000000" w:themeColor="text1"/>
                <w:sz w:val="24"/>
                <w:highlight w:val="none"/>
                <w14:textFill>
                  <w14:solidFill>
                    <w14:schemeClr w14:val="tx1"/>
                  </w14:solidFill>
                </w14:textFill>
              </w:rPr>
              <w:t>T梁节段由大龙门吊运至存梁区。出梁时，T梁节段由大龙门吊吊至装梁区，装入运梁平车。</w:t>
            </w:r>
          </w:p>
          <w:p w14:paraId="7F5CA796">
            <w:pPr>
              <w:spacing w:line="360" w:lineRule="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三</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、主要污染物</w:t>
            </w:r>
          </w:p>
          <w:p w14:paraId="1AA1E3EF">
            <w:pPr>
              <w:spacing w:line="360" w:lineRule="auto"/>
              <w:ind w:firstLine="480" w:firstLineChars="200"/>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本项目营运期主要污染物产生环节见下表：</w:t>
            </w:r>
          </w:p>
          <w:p w14:paraId="619EF198">
            <w:pPr>
              <w:spacing w:line="240" w:lineRule="auto"/>
              <w:ind w:firstLine="422" w:firstLineChars="20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表2-</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14    </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项目营运期主要污染物产生环节一览表</w:t>
            </w:r>
          </w:p>
          <w:tbl>
            <w:tblPr>
              <w:tblStyle w:val="20"/>
              <w:tblW w:w="801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15"/>
              <w:gridCol w:w="3099"/>
              <w:gridCol w:w="4397"/>
            </w:tblGrid>
            <w:tr w14:paraId="2ABFB7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14" w:type="dxa"/>
                  <w:gridSpan w:val="2"/>
                  <w:noWrap w:val="0"/>
                  <w:vAlign w:val="center"/>
                </w:tcPr>
                <w:p w14:paraId="346745FA">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w:t>
                  </w:r>
                </w:p>
              </w:tc>
              <w:tc>
                <w:tcPr>
                  <w:tcW w:w="4397" w:type="dxa"/>
                  <w:noWrap w:val="0"/>
                  <w:vAlign w:val="center"/>
                </w:tcPr>
                <w:p w14:paraId="4850E9EF">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产生环节</w:t>
                  </w:r>
                </w:p>
              </w:tc>
            </w:tr>
            <w:tr w14:paraId="454526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restart"/>
                  <w:noWrap w:val="0"/>
                  <w:vAlign w:val="center"/>
                </w:tcPr>
                <w:p w14:paraId="5883E939">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废水</w:t>
                  </w:r>
                </w:p>
              </w:tc>
              <w:tc>
                <w:tcPr>
                  <w:tcW w:w="3099" w:type="dxa"/>
                  <w:noWrap w:val="0"/>
                  <w:vAlign w:val="center"/>
                </w:tcPr>
                <w:p w14:paraId="2DCF8515">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w:t>
                  </w:r>
                </w:p>
              </w:tc>
              <w:tc>
                <w:tcPr>
                  <w:tcW w:w="4397" w:type="dxa"/>
                  <w:noWrap w:val="0"/>
                  <w:vAlign w:val="center"/>
                </w:tcPr>
                <w:p w14:paraId="01C1A703">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场地、设备、运输车辆清洗</w:t>
                  </w:r>
                </w:p>
              </w:tc>
            </w:tr>
            <w:tr w14:paraId="6115AF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6C51E4F0">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0AAFC35E">
                  <w:pPr>
                    <w:spacing w:line="240" w:lineRule="auto"/>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生活废水</w:t>
                  </w:r>
                </w:p>
              </w:tc>
              <w:tc>
                <w:tcPr>
                  <w:tcW w:w="4397" w:type="dxa"/>
                  <w:noWrap w:val="0"/>
                  <w:vAlign w:val="center"/>
                </w:tcPr>
                <w:p w14:paraId="5B0B5796">
                  <w:pPr>
                    <w:spacing w:line="240" w:lineRule="auto"/>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人员生活</w:t>
                  </w:r>
                </w:p>
              </w:tc>
            </w:tr>
            <w:tr w14:paraId="6AEF45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48E3B5C5">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2FD8DA8A">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餐饮废水</w:t>
                  </w:r>
                </w:p>
              </w:tc>
              <w:tc>
                <w:tcPr>
                  <w:tcW w:w="4397" w:type="dxa"/>
                  <w:noWrap w:val="0"/>
                  <w:vAlign w:val="center"/>
                </w:tcPr>
                <w:p w14:paraId="323A7F7B">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食堂</w:t>
                  </w:r>
                </w:p>
              </w:tc>
            </w:tr>
            <w:tr w14:paraId="0989CD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562799AD">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78BA0E6C">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初期雨水</w:t>
                  </w:r>
                </w:p>
              </w:tc>
              <w:tc>
                <w:tcPr>
                  <w:tcW w:w="4397" w:type="dxa"/>
                  <w:noWrap w:val="0"/>
                  <w:vAlign w:val="center"/>
                </w:tcPr>
                <w:p w14:paraId="18BE5322">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降雨初期地面汇流</w:t>
                  </w:r>
                </w:p>
              </w:tc>
            </w:tr>
            <w:tr w14:paraId="67E4BB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restart"/>
                  <w:noWrap w:val="0"/>
                  <w:vAlign w:val="center"/>
                </w:tcPr>
                <w:p w14:paraId="34D610CB">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废气</w:t>
                  </w:r>
                </w:p>
              </w:tc>
              <w:tc>
                <w:tcPr>
                  <w:tcW w:w="3099" w:type="dxa"/>
                  <w:noWrap w:val="0"/>
                  <w:vAlign w:val="center"/>
                </w:tcPr>
                <w:p w14:paraId="7925EFE4">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车辆运输扬尘</w:t>
                  </w:r>
                </w:p>
              </w:tc>
              <w:tc>
                <w:tcPr>
                  <w:tcW w:w="4397" w:type="dxa"/>
                  <w:noWrap w:val="0"/>
                  <w:vAlign w:val="center"/>
                </w:tcPr>
                <w:p w14:paraId="5D8D7433">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车辆运输</w:t>
                  </w:r>
                </w:p>
              </w:tc>
            </w:tr>
            <w:tr w14:paraId="13354B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5E14AD06">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659C9B2">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砂石料仓堆存、装卸</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扬尘</w:t>
                  </w:r>
                </w:p>
              </w:tc>
              <w:tc>
                <w:tcPr>
                  <w:tcW w:w="4397" w:type="dxa"/>
                  <w:noWrap w:val="0"/>
                  <w:vAlign w:val="center"/>
                </w:tcPr>
                <w:p w14:paraId="43319E64">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骨料</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堆存、装卸</w:t>
                  </w:r>
                </w:p>
              </w:tc>
            </w:tr>
            <w:tr w14:paraId="16FC02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0689BB60">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0D864D2B">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筒仓粉尘</w:t>
                  </w:r>
                </w:p>
              </w:tc>
              <w:tc>
                <w:tcPr>
                  <w:tcW w:w="4397" w:type="dxa"/>
                  <w:noWrap w:val="0"/>
                  <w:vAlign w:val="center"/>
                </w:tcPr>
                <w:p w14:paraId="6CE62A5B">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筒仓</w:t>
                  </w:r>
                </w:p>
              </w:tc>
            </w:tr>
            <w:tr w14:paraId="323275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0FAF793E">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5364075E">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搅拌粉尘</w:t>
                  </w:r>
                </w:p>
              </w:tc>
              <w:tc>
                <w:tcPr>
                  <w:tcW w:w="4397" w:type="dxa"/>
                  <w:noWrap w:val="0"/>
                  <w:vAlign w:val="center"/>
                </w:tcPr>
                <w:p w14:paraId="49FE2042">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搅拌</w:t>
                  </w:r>
                </w:p>
              </w:tc>
            </w:tr>
            <w:tr w14:paraId="6A0A1E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42C35617">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15F0498">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焊接烟尘</w:t>
                  </w:r>
                </w:p>
              </w:tc>
              <w:tc>
                <w:tcPr>
                  <w:tcW w:w="4397" w:type="dxa"/>
                  <w:noWrap w:val="0"/>
                  <w:vAlign w:val="center"/>
                </w:tcPr>
                <w:p w14:paraId="3EB74A34">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钢筋焊接</w:t>
                  </w:r>
                </w:p>
              </w:tc>
            </w:tr>
            <w:tr w14:paraId="26FC1B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5E80331E">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5EEDAFB2">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运输车辆尾气</w:t>
                  </w:r>
                </w:p>
              </w:tc>
              <w:tc>
                <w:tcPr>
                  <w:tcW w:w="4397" w:type="dxa"/>
                  <w:noWrap w:val="0"/>
                  <w:vAlign w:val="center"/>
                </w:tcPr>
                <w:p w14:paraId="2E20CECA">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车辆运输</w:t>
                  </w:r>
                </w:p>
              </w:tc>
            </w:tr>
            <w:tr w14:paraId="355D32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3EF0E476">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2B9923A6">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油烟</w:t>
                  </w:r>
                </w:p>
              </w:tc>
              <w:tc>
                <w:tcPr>
                  <w:tcW w:w="4397" w:type="dxa"/>
                  <w:noWrap w:val="0"/>
                  <w:vAlign w:val="center"/>
                </w:tcPr>
                <w:p w14:paraId="53574E7C">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食堂</w:t>
                  </w:r>
                </w:p>
              </w:tc>
            </w:tr>
            <w:tr w14:paraId="2B42C0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restart"/>
                  <w:noWrap w:val="0"/>
                  <w:vAlign w:val="center"/>
                </w:tcPr>
                <w:p w14:paraId="3FEA00F3">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固体废物</w:t>
                  </w:r>
                </w:p>
              </w:tc>
              <w:tc>
                <w:tcPr>
                  <w:tcW w:w="3099" w:type="dxa"/>
                  <w:noWrap w:val="0"/>
                  <w:vAlign w:val="center"/>
                </w:tcPr>
                <w:p w14:paraId="66F24780">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生活垃圾</w:t>
                  </w:r>
                </w:p>
              </w:tc>
              <w:tc>
                <w:tcPr>
                  <w:tcW w:w="4397" w:type="dxa"/>
                  <w:noWrap w:val="0"/>
                  <w:vAlign w:val="center"/>
                </w:tcPr>
                <w:p w14:paraId="0C431CBB">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办公生活</w:t>
                  </w:r>
                </w:p>
              </w:tc>
            </w:tr>
            <w:tr w14:paraId="2C6DB1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19A5F928">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039E0E6">
                  <w:pPr>
                    <w:tabs>
                      <w:tab w:val="left" w:pos="195"/>
                    </w:tabs>
                    <w:spacing w:line="240" w:lineRule="auto"/>
                    <w:jc w:val="cente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餐厨垃圾</w:t>
                  </w:r>
                </w:p>
              </w:tc>
              <w:tc>
                <w:tcPr>
                  <w:tcW w:w="4397" w:type="dxa"/>
                  <w:noWrap w:val="0"/>
                  <w:vAlign w:val="center"/>
                </w:tcPr>
                <w:p w14:paraId="374B0CDD">
                  <w:pPr>
                    <w:tabs>
                      <w:tab w:val="left" w:pos="195"/>
                    </w:tabs>
                    <w:spacing w:line="240" w:lineRule="auto"/>
                    <w:jc w:val="cente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食堂</w:t>
                  </w:r>
                </w:p>
              </w:tc>
            </w:tr>
            <w:tr w14:paraId="684F6E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285F205F">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3991B0B3">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筒仓除尘器粉尘</w:t>
                  </w:r>
                </w:p>
              </w:tc>
              <w:tc>
                <w:tcPr>
                  <w:tcW w:w="4397" w:type="dxa"/>
                  <w:noWrap w:val="0"/>
                  <w:vAlign w:val="center"/>
                </w:tcPr>
                <w:p w14:paraId="1E2D2EEC">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筒仓除尘器</w:t>
                  </w:r>
                </w:p>
              </w:tc>
            </w:tr>
            <w:tr w14:paraId="4DBB32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58BE2C68">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F8D1A6E">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底泥</w:t>
                  </w: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（泥饼）</w:t>
                  </w:r>
                </w:p>
              </w:tc>
              <w:tc>
                <w:tcPr>
                  <w:tcW w:w="4397" w:type="dxa"/>
                  <w:noWrap w:val="0"/>
                  <w:vAlign w:val="center"/>
                </w:tcPr>
                <w:p w14:paraId="21DD77E0">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沉淀池</w:t>
                  </w:r>
                </w:p>
              </w:tc>
            </w:tr>
            <w:tr w14:paraId="687FE8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1BD001E2">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1E85A2B">
                  <w:pPr>
                    <w:tabs>
                      <w:tab w:val="left" w:pos="195"/>
                    </w:tabs>
                    <w:spacing w:line="240" w:lineRule="auto"/>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检验室废品</w:t>
                  </w:r>
                </w:p>
              </w:tc>
              <w:tc>
                <w:tcPr>
                  <w:tcW w:w="4397" w:type="dxa"/>
                  <w:noWrap w:val="0"/>
                  <w:vAlign w:val="center"/>
                </w:tcPr>
                <w:p w14:paraId="7B097C85">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检验</w:t>
                  </w:r>
                </w:p>
              </w:tc>
            </w:tr>
            <w:tr w14:paraId="5FF148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3CEEA1E9">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E94B592">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边角废料</w:t>
                  </w:r>
                </w:p>
              </w:tc>
              <w:tc>
                <w:tcPr>
                  <w:tcW w:w="4397" w:type="dxa"/>
                  <w:noWrap w:val="0"/>
                  <w:vAlign w:val="center"/>
                </w:tcPr>
                <w:p w14:paraId="39B7BD58">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钢筋切割</w:t>
                  </w:r>
                </w:p>
              </w:tc>
            </w:tr>
            <w:tr w14:paraId="302DD6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70573056">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004AF933">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隔油池废油</w:t>
                  </w:r>
                </w:p>
              </w:tc>
              <w:tc>
                <w:tcPr>
                  <w:tcW w:w="4397" w:type="dxa"/>
                  <w:noWrap w:val="0"/>
                  <w:vAlign w:val="center"/>
                </w:tcPr>
                <w:p w14:paraId="7FDF596F">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洗车废水隔油处理</w:t>
                  </w:r>
                </w:p>
              </w:tc>
            </w:tr>
            <w:tr w14:paraId="3CB03B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14" w:type="dxa"/>
                  <w:gridSpan w:val="2"/>
                  <w:noWrap w:val="0"/>
                  <w:vAlign w:val="center"/>
                </w:tcPr>
                <w:p w14:paraId="50F7C29F">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噪声</w:t>
                  </w:r>
                </w:p>
              </w:tc>
              <w:tc>
                <w:tcPr>
                  <w:tcW w:w="4397" w:type="dxa"/>
                  <w:noWrap w:val="0"/>
                  <w:vAlign w:val="center"/>
                </w:tcPr>
                <w:p w14:paraId="5138BF93">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设备运行、人员活动</w:t>
                  </w:r>
                </w:p>
              </w:tc>
            </w:tr>
          </w:tbl>
          <w:p w14:paraId="7DAFFF2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tc>
      </w:tr>
      <w:tr w14:paraId="6EA45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0" w:hRule="atLeast"/>
          <w:jc w:val="center"/>
        </w:trPr>
        <w:tc>
          <w:tcPr>
            <w:tcW w:w="500" w:type="pct"/>
            <w:shd w:val="clear" w:color="auto" w:fill="auto"/>
            <w:vAlign w:val="center"/>
          </w:tcPr>
          <w:p w14:paraId="0B28AF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与项目有关的原有环境污染问题</w:t>
            </w:r>
          </w:p>
        </w:tc>
        <w:tc>
          <w:tcPr>
            <w:tcW w:w="4615" w:type="pct"/>
            <w:shd w:val="clear" w:color="auto" w:fill="auto"/>
            <w:vAlign w:val="top"/>
          </w:tcPr>
          <w:p w14:paraId="4AF024D5">
            <w:pPr>
              <w:spacing w:line="500" w:lineRule="exact"/>
              <w:ind w:firstLine="480" w:firstLineChars="200"/>
              <w:jc w:val="both"/>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经现场勘察，本项目</w:t>
            </w:r>
            <w:r>
              <w:rPr>
                <w:rFonts w:hint="eastAsia" w:ascii="Times New Roman" w:hAnsi="Times New Roman" w:eastAsia="宋体"/>
                <w:color w:val="000000" w:themeColor="text1"/>
                <w:sz w:val="24"/>
                <w:highlight w:val="none"/>
                <w:lang w:eastAsia="zh-CN"/>
                <w14:textFill>
                  <w14:solidFill>
                    <w14:schemeClr w14:val="tx1"/>
                  </w14:solidFill>
                </w14:textFill>
              </w:rPr>
              <w:t>待建场地为空地，未发现环境遗留问题。</w:t>
            </w:r>
          </w:p>
        </w:tc>
      </w:tr>
    </w:tbl>
    <w:p w14:paraId="1DCAE16C">
      <w:pPr>
        <w:rPr>
          <w:rFonts w:ascii="Times New Roman" w:hAnsi="Times New Roman" w:eastAsia="宋体"/>
          <w:color w:val="000000" w:themeColor="text1"/>
          <w:kern w:val="0"/>
          <w:sz w:val="24"/>
          <w:szCs w:val="24"/>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B1EB995">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4" w:name="_Toc80643343"/>
      <w:r>
        <w:rPr>
          <w:rFonts w:ascii="Times New Roman" w:hAnsi="Times New Roman" w:eastAsia="宋体"/>
          <w:b/>
          <w:bCs/>
          <w:snapToGrid w:val="0"/>
          <w:color w:val="000000" w:themeColor="text1"/>
          <w:kern w:val="0"/>
          <w:sz w:val="36"/>
          <w:szCs w:val="32"/>
          <w:highlight w:val="none"/>
          <w14:textFill>
            <w14:solidFill>
              <w14:schemeClr w14:val="tx1"/>
            </w14:solidFill>
          </w14:textFill>
        </w:rPr>
        <w:t>三、</w:t>
      </w:r>
      <w:bookmarkEnd w:id="4"/>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区域环境质量现状、环境保护目标及评价标准</w:t>
      </w:r>
    </w:p>
    <w:tbl>
      <w:tblPr>
        <w:tblStyle w:val="2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17"/>
        <w:gridCol w:w="8257"/>
      </w:tblGrid>
      <w:tr w14:paraId="66C7C4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55BA78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区域环境质量现状</w:t>
            </w:r>
          </w:p>
        </w:tc>
        <w:tc>
          <w:tcPr>
            <w:tcW w:w="4500" w:type="pct"/>
          </w:tcPr>
          <w:p w14:paraId="473B5E44">
            <w:pPr>
              <w:spacing w:line="500" w:lineRule="exact"/>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一、</w:t>
            </w:r>
            <w:r>
              <w:rPr>
                <w:rFonts w:ascii="Times New Roman" w:hAnsi="Times New Roman" w:eastAsia="宋体"/>
                <w:b/>
                <w:color w:val="000000" w:themeColor="text1"/>
                <w:kern w:val="0"/>
                <w:sz w:val="24"/>
                <w:szCs w:val="24"/>
                <w:highlight w:val="none"/>
                <w14:textFill>
                  <w14:solidFill>
                    <w14:schemeClr w14:val="tx1"/>
                  </w14:solidFill>
                </w14:textFill>
              </w:rPr>
              <w:t>环境空气质量现状</w:t>
            </w:r>
          </w:p>
          <w:p w14:paraId="75A52A3E">
            <w:pPr>
              <w:widowControl w:val="0"/>
              <w:spacing w:before="0" w:line="360" w:lineRule="auto"/>
              <w:ind w:firstLine="480" w:firstLineChars="200"/>
              <w:jc w:val="both"/>
              <w:rPr>
                <w:rFonts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Cs/>
                <w:color w:val="000000" w:themeColor="text1"/>
                <w:kern w:val="2"/>
                <w:sz w:val="24"/>
                <w:szCs w:val="24"/>
                <w:highlight w:val="none"/>
                <w:lang w:val="en-US" w:eastAsia="zh-CN" w:bidi="ar"/>
                <w14:textFill>
                  <w14:solidFill>
                    <w14:schemeClr w14:val="tx1"/>
                  </w14:solidFill>
                </w14:textFill>
              </w:rPr>
              <w:t>根据《建设项目环境影响报告表编制技术指南》（污染影响类）（试行）：1大气环境。常规污染物引用与建设项目距离近的有效数据，包括近3年的规划环境影响评价的监测数据，国家、地方环境空气质量监测网数据或生态环境主管部门公开发布的质量数据等。排放国家、地方环境空气质量标准中有标准限值要求的特征污染物时，引用建设项目周边5千米范围内近3年的现有监测数据。</w:t>
            </w:r>
          </w:p>
          <w:p w14:paraId="4EDC4849">
            <w:pPr>
              <w:widowControl w:val="0"/>
              <w:spacing w:before="0" w:line="360" w:lineRule="auto"/>
              <w:ind w:firstLine="482" w:firstLineChars="200"/>
              <w:jc w:val="both"/>
              <w:rPr>
                <w:rFonts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t>1、项目所在区域环境质量</w:t>
            </w:r>
          </w:p>
          <w:p w14:paraId="6E16252F">
            <w:pPr>
              <w:keepNext w:val="0"/>
              <w:keepLines w:val="0"/>
              <w:pageBreakBefore w:val="0"/>
              <w:widowControl w:val="0"/>
              <w:kinsoku/>
              <w:wordWrap w:val="0"/>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本项目位于</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四川省遂宁市蓬溪县大石镇偏马村一社</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，属于大气环境功能区2类区，执行《环境空气质量标准》（GB3095-2012）二级标准。</w:t>
            </w:r>
            <w:r>
              <w:rPr>
                <w:rFonts w:hint="default" w:ascii="Times New Roman" w:hAnsi="Times New Roman" w:eastAsia="宋体" w:cs="Times New Roman"/>
                <w:bCs/>
                <w:color w:val="000000" w:themeColor="text1"/>
                <w:sz w:val="24"/>
                <w:highlight w:val="none"/>
                <w:lang w:bidi="ar"/>
                <w14:textFill>
                  <w14:solidFill>
                    <w14:schemeClr w14:val="tx1"/>
                  </w14:solidFill>
                </w14:textFill>
              </w:rPr>
              <w:t>本项目环境空气质量现状引用</w:t>
            </w:r>
            <w:r>
              <w:rPr>
                <w:rStyle w:val="57"/>
                <w:rFonts w:hint="default" w:ascii="Times New Roman" w:hAnsi="Times New Roman" w:eastAsia="宋体" w:cs="Times New Roman"/>
                <w:color w:val="000000" w:themeColor="text1"/>
                <w:highlight w:val="none"/>
                <w:lang w:bidi="ar"/>
                <w14:textFill>
                  <w14:solidFill>
                    <w14:schemeClr w14:val="tx1"/>
                  </w14:solidFill>
                </w14:textFill>
              </w:rPr>
              <w:t>遂宁市</w:t>
            </w:r>
            <w:r>
              <w:rPr>
                <w:rFonts w:hint="default" w:ascii="Times New Roman" w:hAnsi="Times New Roman" w:eastAsia="宋体" w:cs="Times New Roman"/>
                <w:bCs/>
                <w:color w:val="000000" w:themeColor="text1"/>
                <w:sz w:val="24"/>
                <w:highlight w:val="none"/>
                <w:lang w:bidi="ar"/>
                <w14:textFill>
                  <w14:solidFill>
                    <w14:schemeClr w14:val="tx1"/>
                  </w14:solidFill>
                </w14:textFill>
              </w:rPr>
              <w:t>生态环境局</w:t>
            </w:r>
            <w:r>
              <w:rPr>
                <w:rStyle w:val="57"/>
                <w:rFonts w:hint="default" w:ascii="Times New Roman" w:hAnsi="Times New Roman" w:eastAsia="宋体" w:cs="Times New Roman"/>
                <w:color w:val="000000" w:themeColor="text1"/>
                <w:highlight w:val="none"/>
                <w:lang w:eastAsia="zh-CN" w:bidi="ar"/>
                <w14:textFill>
                  <w14:solidFill>
                    <w14:schemeClr w14:val="tx1"/>
                  </w14:solidFill>
                </w14:textFill>
              </w:rPr>
              <w:t>发布的《关于2020年全市环境空气质量的通报》（http://shbj.suining.gov.cn/web/gkml_stj/ml_gsgg/-/articles/19212588.shtml）</w:t>
            </w:r>
            <w:r>
              <w:rPr>
                <w:rFonts w:hint="default" w:ascii="Times New Roman" w:hAnsi="Times New Roman" w:eastAsia="宋体" w:cs="Times New Roman"/>
                <w:bCs/>
                <w:color w:val="000000" w:themeColor="text1"/>
                <w:sz w:val="24"/>
                <w:highlight w:val="none"/>
                <w:lang w:bidi="ar"/>
                <w14:textFill>
                  <w14:solidFill>
                    <w14:schemeClr w14:val="tx1"/>
                  </w14:solidFill>
                </w14:textFill>
              </w:rPr>
              <w:t>。</w:t>
            </w:r>
          </w:p>
          <w:p w14:paraId="3FD681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color w:val="000000" w:themeColor="text1"/>
                <w:sz w:val="21"/>
                <w:szCs w:val="18"/>
                <w:highlight w:val="none"/>
                <w14:textFill>
                  <w14:solidFill>
                    <w14:schemeClr w14:val="tx1"/>
                  </w14:solidFill>
                </w14:textFill>
              </w:rPr>
            </w:pPr>
            <w:r>
              <w:rPr>
                <w:rFonts w:hint="default" w:ascii="Times New Roman" w:hAnsi="Times New Roman" w:cs="Times New Roman"/>
                <w:b/>
                <w:color w:val="000000" w:themeColor="text1"/>
                <w:sz w:val="21"/>
                <w:szCs w:val="18"/>
                <w:highlight w:val="none"/>
                <w:lang w:bidi="ar"/>
                <w14:textFill>
                  <w14:solidFill>
                    <w14:schemeClr w14:val="tx1"/>
                  </w14:solidFill>
                </w14:textFill>
              </w:rPr>
              <w:t xml:space="preserve">表3-1 </w:t>
            </w:r>
            <w:r>
              <w:rPr>
                <w:rFonts w:hint="default" w:ascii="Times New Roman" w:hAnsi="Times New Roman" w:eastAsia="宋体" w:cs="Times New Roman"/>
                <w:b/>
                <w:color w:val="000000" w:themeColor="text1"/>
                <w:sz w:val="21"/>
                <w:szCs w:val="18"/>
                <w:highlight w:val="none"/>
                <w:lang w:bidi="ar"/>
                <w14:textFill>
                  <w14:solidFill>
                    <w14:schemeClr w14:val="tx1"/>
                  </w14:solidFill>
                </w14:textFill>
              </w:rPr>
              <w:t xml:space="preserve">     20</w:t>
            </w:r>
            <w:r>
              <w:rPr>
                <w:rFonts w:hint="default" w:ascii="Times New Roman" w:hAnsi="Times New Roman" w:eastAsia="宋体" w:cs="Times New Roman"/>
                <w:b/>
                <w:color w:val="000000" w:themeColor="text1"/>
                <w:sz w:val="21"/>
                <w:szCs w:val="18"/>
                <w:highlight w:val="none"/>
                <w:lang w:val="en-US" w:eastAsia="zh-CN" w:bidi="ar"/>
                <w14:textFill>
                  <w14:solidFill>
                    <w14:schemeClr w14:val="tx1"/>
                  </w14:solidFill>
                </w14:textFill>
              </w:rPr>
              <w:t>20</w:t>
            </w:r>
            <w:r>
              <w:rPr>
                <w:rFonts w:hint="default" w:ascii="Times New Roman" w:hAnsi="Times New Roman" w:eastAsia="宋体" w:cs="Times New Roman"/>
                <w:b/>
                <w:color w:val="000000" w:themeColor="text1"/>
                <w:sz w:val="21"/>
                <w:szCs w:val="18"/>
                <w:highlight w:val="none"/>
                <w:lang w:bidi="ar"/>
                <w14:textFill>
                  <w14:solidFill>
                    <w14:schemeClr w14:val="tx1"/>
                  </w14:solidFill>
                </w14:textFill>
              </w:rPr>
              <w:t>年度遂宁市环境空气质量状况</w:t>
            </w:r>
          </w:p>
          <w:tbl>
            <w:tblPr>
              <w:tblStyle w:val="20"/>
              <w:tblW w:w="809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70"/>
              <w:gridCol w:w="1147"/>
              <w:gridCol w:w="675"/>
              <w:gridCol w:w="675"/>
              <w:gridCol w:w="688"/>
              <w:gridCol w:w="686"/>
              <w:gridCol w:w="704"/>
              <w:gridCol w:w="804"/>
              <w:gridCol w:w="839"/>
              <w:gridCol w:w="582"/>
              <w:gridCol w:w="424"/>
            </w:tblGrid>
            <w:tr w14:paraId="65E1BC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1462E432">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各县（市、区）、市直园区</w:t>
                  </w:r>
                </w:p>
              </w:tc>
              <w:tc>
                <w:tcPr>
                  <w:tcW w:w="1147" w:type="dxa"/>
                  <w:noWrap/>
                  <w:vAlign w:val="center"/>
                </w:tcPr>
                <w:p w14:paraId="7CB8F1F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监测站点</w:t>
                  </w:r>
                </w:p>
              </w:tc>
              <w:tc>
                <w:tcPr>
                  <w:tcW w:w="675" w:type="dxa"/>
                  <w:noWrap/>
                  <w:vAlign w:val="center"/>
                </w:tcPr>
                <w:p w14:paraId="77AB84AC">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优良天数率</w:t>
                  </w:r>
                </w:p>
              </w:tc>
              <w:tc>
                <w:tcPr>
                  <w:tcW w:w="675" w:type="dxa"/>
                  <w:noWrap/>
                  <w:vAlign w:val="center"/>
                </w:tcPr>
                <w:p w14:paraId="7B16991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PM</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2.5</w:t>
                  </w:r>
                </w:p>
                <w:p w14:paraId="41D4FB58">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6878403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688" w:type="dxa"/>
                  <w:noWrap/>
                  <w:vAlign w:val="center"/>
                </w:tcPr>
                <w:p w14:paraId="45E141E5">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PM</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10</w:t>
                  </w:r>
                </w:p>
                <w:p w14:paraId="3DAF8E7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38139313">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686" w:type="dxa"/>
                  <w:noWrap/>
                  <w:vAlign w:val="center"/>
                </w:tcPr>
                <w:p w14:paraId="682E6C4D">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SO</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2</w:t>
                  </w:r>
                </w:p>
                <w:p w14:paraId="3D59BB1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21A3AB29">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704" w:type="dxa"/>
                  <w:noWrap/>
                  <w:vAlign w:val="center"/>
                </w:tcPr>
                <w:p w14:paraId="04F6C559">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NO</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2</w:t>
                  </w:r>
                </w:p>
                <w:p w14:paraId="0C9EE2A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7BADC88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804" w:type="dxa"/>
                  <w:noWrap/>
                  <w:vAlign w:val="center"/>
                </w:tcPr>
                <w:p w14:paraId="0116C793">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O</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-8h</w:t>
                  </w:r>
                </w:p>
                <w:p w14:paraId="4C70269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90百分位</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839" w:type="dxa"/>
                  <w:noWrap/>
                  <w:vAlign w:val="center"/>
                </w:tcPr>
                <w:p w14:paraId="1A0D0D7C">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CO</w:t>
                  </w:r>
                </w:p>
                <w:p w14:paraId="4C56568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95百分位</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582" w:type="dxa"/>
                  <w:noWrap/>
                  <w:vAlign w:val="center"/>
                </w:tcPr>
                <w:p w14:paraId="6BBB2BA5">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空气质量综合指数</w:t>
                  </w:r>
                </w:p>
              </w:tc>
              <w:tc>
                <w:tcPr>
                  <w:tcW w:w="424" w:type="dxa"/>
                  <w:noWrap/>
                  <w:vAlign w:val="center"/>
                </w:tcPr>
                <w:p w14:paraId="718CF88C">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是否达标</w:t>
                  </w:r>
                </w:p>
              </w:tc>
            </w:tr>
            <w:tr w14:paraId="2BACB8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vMerge w:val="restart"/>
                  <w:noWrap/>
                  <w:vAlign w:val="center"/>
                </w:tcPr>
                <w:p w14:paraId="655151A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遂宁</w:t>
                  </w:r>
                </w:p>
                <w:p w14:paraId="38B31A49">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经开区</w:t>
                  </w:r>
                </w:p>
              </w:tc>
              <w:tc>
                <w:tcPr>
                  <w:tcW w:w="1147" w:type="dxa"/>
                  <w:noWrap/>
                  <w:vAlign w:val="center"/>
                </w:tcPr>
                <w:p w14:paraId="7EB1486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石溪浩</w:t>
                  </w:r>
                </w:p>
              </w:tc>
              <w:tc>
                <w:tcPr>
                  <w:tcW w:w="675" w:type="dxa"/>
                  <w:noWrap/>
                  <w:vAlign w:val="center"/>
                </w:tcPr>
                <w:p w14:paraId="53460A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91.7%</w:t>
                  </w:r>
                </w:p>
              </w:tc>
              <w:tc>
                <w:tcPr>
                  <w:tcW w:w="675" w:type="dxa"/>
                  <w:noWrap/>
                  <w:vAlign w:val="center"/>
                </w:tcPr>
                <w:p w14:paraId="7142046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28.7</w:t>
                  </w:r>
                </w:p>
              </w:tc>
              <w:tc>
                <w:tcPr>
                  <w:tcW w:w="688" w:type="dxa"/>
                  <w:noWrap/>
                  <w:vAlign w:val="center"/>
                </w:tcPr>
                <w:p w14:paraId="4C051E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51.8</w:t>
                  </w:r>
                </w:p>
              </w:tc>
              <w:tc>
                <w:tcPr>
                  <w:tcW w:w="686" w:type="dxa"/>
                  <w:noWrap/>
                  <w:vAlign w:val="center"/>
                </w:tcPr>
                <w:p w14:paraId="2E4B99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8.0</w:t>
                  </w:r>
                </w:p>
              </w:tc>
              <w:tc>
                <w:tcPr>
                  <w:tcW w:w="704" w:type="dxa"/>
                  <w:noWrap/>
                  <w:vAlign w:val="center"/>
                </w:tcPr>
                <w:p w14:paraId="0D75223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20.9</w:t>
                  </w:r>
                </w:p>
              </w:tc>
              <w:tc>
                <w:tcPr>
                  <w:tcW w:w="804" w:type="dxa"/>
                  <w:noWrap/>
                  <w:vAlign w:val="center"/>
                </w:tcPr>
                <w:p w14:paraId="1674E9A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139.8</w:t>
                  </w:r>
                </w:p>
              </w:tc>
              <w:tc>
                <w:tcPr>
                  <w:tcW w:w="839" w:type="dxa"/>
                  <w:noWrap/>
                  <w:vAlign w:val="center"/>
                </w:tcPr>
                <w:p w14:paraId="623B562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0.9</w:t>
                  </w:r>
                </w:p>
              </w:tc>
              <w:tc>
                <w:tcPr>
                  <w:tcW w:w="582" w:type="dxa"/>
                  <w:noWrap/>
                  <w:vAlign w:val="center"/>
                </w:tcPr>
                <w:p w14:paraId="4F0E05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3.31 </w:t>
                  </w:r>
                </w:p>
              </w:tc>
              <w:tc>
                <w:tcPr>
                  <w:tcW w:w="424" w:type="dxa"/>
                  <w:noWrap/>
                  <w:vAlign w:val="center"/>
                </w:tcPr>
                <w:p w14:paraId="3A355669">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5D15B9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vMerge w:val="continue"/>
                  <w:noWrap/>
                  <w:vAlign w:val="center"/>
                </w:tcPr>
                <w:p w14:paraId="52DC16C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p>
              </w:tc>
              <w:tc>
                <w:tcPr>
                  <w:tcW w:w="1147" w:type="dxa"/>
                  <w:noWrap/>
                  <w:vAlign w:val="center"/>
                </w:tcPr>
                <w:p w14:paraId="067EDB48">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市监测站</w:t>
                  </w:r>
                </w:p>
              </w:tc>
              <w:tc>
                <w:tcPr>
                  <w:tcW w:w="675" w:type="dxa"/>
                  <w:noWrap/>
                  <w:vAlign w:val="center"/>
                </w:tcPr>
                <w:p w14:paraId="32B34C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94.6%</w:t>
                  </w:r>
                </w:p>
              </w:tc>
              <w:tc>
                <w:tcPr>
                  <w:tcW w:w="675" w:type="dxa"/>
                  <w:noWrap/>
                  <w:vAlign w:val="center"/>
                </w:tcPr>
                <w:p w14:paraId="15BED9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28.3</w:t>
                  </w:r>
                </w:p>
              </w:tc>
              <w:tc>
                <w:tcPr>
                  <w:tcW w:w="688" w:type="dxa"/>
                  <w:noWrap/>
                  <w:vAlign w:val="center"/>
                </w:tcPr>
                <w:p w14:paraId="0846BD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45.2</w:t>
                  </w:r>
                </w:p>
              </w:tc>
              <w:tc>
                <w:tcPr>
                  <w:tcW w:w="686" w:type="dxa"/>
                  <w:noWrap/>
                  <w:vAlign w:val="center"/>
                </w:tcPr>
                <w:p w14:paraId="441B5E9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7.9</w:t>
                  </w:r>
                </w:p>
              </w:tc>
              <w:tc>
                <w:tcPr>
                  <w:tcW w:w="704" w:type="dxa"/>
                  <w:noWrap/>
                  <w:vAlign w:val="center"/>
                </w:tcPr>
                <w:p w14:paraId="071182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16.8</w:t>
                  </w:r>
                </w:p>
              </w:tc>
              <w:tc>
                <w:tcPr>
                  <w:tcW w:w="804" w:type="dxa"/>
                  <w:noWrap/>
                  <w:vAlign w:val="center"/>
                </w:tcPr>
                <w:p w14:paraId="398194A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132.8</w:t>
                  </w:r>
                </w:p>
              </w:tc>
              <w:tc>
                <w:tcPr>
                  <w:tcW w:w="839" w:type="dxa"/>
                  <w:noWrap/>
                  <w:vAlign w:val="center"/>
                </w:tcPr>
                <w:p w14:paraId="0CBD7A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2FF0BE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3.09 </w:t>
                  </w:r>
                </w:p>
              </w:tc>
              <w:tc>
                <w:tcPr>
                  <w:tcW w:w="424" w:type="dxa"/>
                  <w:noWrap/>
                  <w:vAlign w:val="center"/>
                </w:tcPr>
                <w:p w14:paraId="099AEAA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5110D9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vMerge w:val="continue"/>
                  <w:noWrap/>
                  <w:vAlign w:val="center"/>
                </w:tcPr>
                <w:p w14:paraId="0E394A0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147" w:type="dxa"/>
                  <w:noWrap/>
                  <w:vAlign w:val="center"/>
                </w:tcPr>
                <w:p w14:paraId="42930CD5">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美宁食品</w:t>
                  </w:r>
                </w:p>
                <w:p w14:paraId="7DC0846A">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公司</w:t>
                  </w:r>
                </w:p>
              </w:tc>
              <w:tc>
                <w:tcPr>
                  <w:tcW w:w="675" w:type="dxa"/>
                  <w:noWrap/>
                  <w:vAlign w:val="center"/>
                </w:tcPr>
                <w:p w14:paraId="589D14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94.0%</w:t>
                  </w:r>
                </w:p>
              </w:tc>
              <w:tc>
                <w:tcPr>
                  <w:tcW w:w="675" w:type="dxa"/>
                  <w:noWrap/>
                  <w:vAlign w:val="center"/>
                </w:tcPr>
                <w:p w14:paraId="2B4AA1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29.7</w:t>
                  </w:r>
                </w:p>
              </w:tc>
              <w:tc>
                <w:tcPr>
                  <w:tcW w:w="688" w:type="dxa"/>
                  <w:noWrap/>
                  <w:vAlign w:val="center"/>
                </w:tcPr>
                <w:p w14:paraId="04B084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51.6</w:t>
                  </w:r>
                </w:p>
              </w:tc>
              <w:tc>
                <w:tcPr>
                  <w:tcW w:w="686" w:type="dxa"/>
                  <w:noWrap/>
                  <w:vAlign w:val="center"/>
                </w:tcPr>
                <w:p w14:paraId="331932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9.5</w:t>
                  </w:r>
                </w:p>
              </w:tc>
              <w:tc>
                <w:tcPr>
                  <w:tcW w:w="704" w:type="dxa"/>
                  <w:noWrap/>
                  <w:vAlign w:val="center"/>
                </w:tcPr>
                <w:p w14:paraId="5D90DA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19.4</w:t>
                  </w:r>
                </w:p>
              </w:tc>
              <w:tc>
                <w:tcPr>
                  <w:tcW w:w="804" w:type="dxa"/>
                  <w:noWrap/>
                  <w:vAlign w:val="center"/>
                </w:tcPr>
                <w:p w14:paraId="2EABF3D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129.8</w:t>
                  </w:r>
                </w:p>
              </w:tc>
              <w:tc>
                <w:tcPr>
                  <w:tcW w:w="839" w:type="dxa"/>
                  <w:noWrap/>
                  <w:vAlign w:val="center"/>
                </w:tcPr>
                <w:p w14:paraId="0DA206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3E3A92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3.29 </w:t>
                  </w:r>
                </w:p>
              </w:tc>
              <w:tc>
                <w:tcPr>
                  <w:tcW w:w="424" w:type="dxa"/>
                  <w:noWrap/>
                  <w:vAlign w:val="center"/>
                </w:tcPr>
                <w:p w14:paraId="68778BE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169852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1888C6E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市河东</w:t>
                  </w:r>
                </w:p>
                <w:p w14:paraId="6057E743">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新区</w:t>
                  </w:r>
                </w:p>
              </w:tc>
              <w:tc>
                <w:tcPr>
                  <w:tcW w:w="1147" w:type="dxa"/>
                  <w:noWrap/>
                  <w:vAlign w:val="center"/>
                </w:tcPr>
                <w:p w14:paraId="10BCCD6A">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行政中心</w:t>
                  </w:r>
                </w:p>
              </w:tc>
              <w:tc>
                <w:tcPr>
                  <w:tcW w:w="675" w:type="dxa"/>
                  <w:noWrap/>
                  <w:vAlign w:val="center"/>
                </w:tcPr>
                <w:p w14:paraId="2E7E94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92.3%</w:t>
                  </w:r>
                </w:p>
              </w:tc>
              <w:tc>
                <w:tcPr>
                  <w:tcW w:w="675" w:type="dxa"/>
                  <w:noWrap/>
                  <w:vAlign w:val="center"/>
                </w:tcPr>
                <w:p w14:paraId="0D7071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29.3</w:t>
                  </w:r>
                </w:p>
              </w:tc>
              <w:tc>
                <w:tcPr>
                  <w:tcW w:w="688" w:type="dxa"/>
                  <w:noWrap/>
                  <w:vAlign w:val="center"/>
                </w:tcPr>
                <w:p w14:paraId="187A1E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45.5</w:t>
                  </w:r>
                </w:p>
              </w:tc>
              <w:tc>
                <w:tcPr>
                  <w:tcW w:w="686" w:type="dxa"/>
                  <w:noWrap/>
                  <w:vAlign w:val="center"/>
                </w:tcPr>
                <w:p w14:paraId="177CFF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8.1</w:t>
                  </w:r>
                </w:p>
              </w:tc>
              <w:tc>
                <w:tcPr>
                  <w:tcW w:w="704" w:type="dxa"/>
                  <w:noWrap/>
                  <w:vAlign w:val="center"/>
                </w:tcPr>
                <w:p w14:paraId="57FF61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17.8</w:t>
                  </w:r>
                </w:p>
              </w:tc>
              <w:tc>
                <w:tcPr>
                  <w:tcW w:w="804" w:type="dxa"/>
                  <w:noWrap/>
                  <w:vAlign w:val="center"/>
                </w:tcPr>
                <w:p w14:paraId="425006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135.0</w:t>
                  </w:r>
                </w:p>
              </w:tc>
              <w:tc>
                <w:tcPr>
                  <w:tcW w:w="839" w:type="dxa"/>
                  <w:noWrap/>
                  <w:vAlign w:val="center"/>
                </w:tcPr>
                <w:p w14:paraId="51E81B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7627BDF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3.16 </w:t>
                  </w:r>
                </w:p>
              </w:tc>
              <w:tc>
                <w:tcPr>
                  <w:tcW w:w="424" w:type="dxa"/>
                  <w:noWrap/>
                  <w:vAlign w:val="center"/>
                </w:tcPr>
                <w:p w14:paraId="30474C71">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2C9221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61BBFB5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船山区</w:t>
                  </w:r>
                </w:p>
              </w:tc>
              <w:tc>
                <w:tcPr>
                  <w:tcW w:w="1147" w:type="dxa"/>
                  <w:noWrap/>
                  <w:vAlign w:val="center"/>
                </w:tcPr>
                <w:p w14:paraId="786C4202">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遂中实验校</w:t>
                  </w:r>
                </w:p>
              </w:tc>
              <w:tc>
                <w:tcPr>
                  <w:tcW w:w="675" w:type="dxa"/>
                  <w:noWrap/>
                  <w:vAlign w:val="center"/>
                </w:tcPr>
                <w:p w14:paraId="7A5D81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91.8%</w:t>
                  </w:r>
                </w:p>
              </w:tc>
              <w:tc>
                <w:tcPr>
                  <w:tcW w:w="675" w:type="dxa"/>
                  <w:noWrap/>
                  <w:vAlign w:val="center"/>
                </w:tcPr>
                <w:p w14:paraId="31DF52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30.4</w:t>
                  </w:r>
                </w:p>
              </w:tc>
              <w:tc>
                <w:tcPr>
                  <w:tcW w:w="688" w:type="dxa"/>
                  <w:noWrap/>
                  <w:vAlign w:val="center"/>
                </w:tcPr>
                <w:p w14:paraId="21B12A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46.0</w:t>
                  </w:r>
                </w:p>
              </w:tc>
              <w:tc>
                <w:tcPr>
                  <w:tcW w:w="686" w:type="dxa"/>
                  <w:noWrap/>
                  <w:vAlign w:val="center"/>
                </w:tcPr>
                <w:p w14:paraId="11F2E6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5.4</w:t>
                  </w:r>
                </w:p>
              </w:tc>
              <w:tc>
                <w:tcPr>
                  <w:tcW w:w="704" w:type="dxa"/>
                  <w:noWrap/>
                  <w:vAlign w:val="center"/>
                </w:tcPr>
                <w:p w14:paraId="20C3D12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17.9</w:t>
                  </w:r>
                </w:p>
              </w:tc>
              <w:tc>
                <w:tcPr>
                  <w:tcW w:w="804" w:type="dxa"/>
                  <w:noWrap/>
                  <w:vAlign w:val="center"/>
                </w:tcPr>
                <w:p w14:paraId="4F3138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137.0</w:t>
                  </w:r>
                </w:p>
              </w:tc>
              <w:tc>
                <w:tcPr>
                  <w:tcW w:w="839" w:type="dxa"/>
                  <w:noWrap/>
                  <w:vAlign w:val="center"/>
                </w:tcPr>
                <w:p w14:paraId="1F2FA8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0.9</w:t>
                  </w:r>
                </w:p>
              </w:tc>
              <w:tc>
                <w:tcPr>
                  <w:tcW w:w="582" w:type="dxa"/>
                  <w:noWrap/>
                  <w:vAlign w:val="center"/>
                </w:tcPr>
                <w:p w14:paraId="345D71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3.14 </w:t>
                  </w:r>
                </w:p>
              </w:tc>
              <w:tc>
                <w:tcPr>
                  <w:tcW w:w="424" w:type="dxa"/>
                  <w:noWrap/>
                  <w:vAlign w:val="center"/>
                </w:tcPr>
                <w:p w14:paraId="3D92187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24127C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568FA2F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安居区</w:t>
                  </w:r>
                </w:p>
              </w:tc>
              <w:tc>
                <w:tcPr>
                  <w:tcW w:w="1147" w:type="dxa"/>
                  <w:noWrap/>
                  <w:vAlign w:val="center"/>
                </w:tcPr>
                <w:p w14:paraId="0692937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安居检察院</w:t>
                  </w:r>
                </w:p>
              </w:tc>
              <w:tc>
                <w:tcPr>
                  <w:tcW w:w="675" w:type="dxa"/>
                  <w:noWrap/>
                  <w:vAlign w:val="center"/>
                </w:tcPr>
                <w:p w14:paraId="2D879EF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94.5%</w:t>
                  </w:r>
                </w:p>
              </w:tc>
              <w:tc>
                <w:tcPr>
                  <w:tcW w:w="675" w:type="dxa"/>
                  <w:noWrap/>
                  <w:vAlign w:val="center"/>
                </w:tcPr>
                <w:p w14:paraId="6DD85FA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23.6</w:t>
                  </w:r>
                </w:p>
              </w:tc>
              <w:tc>
                <w:tcPr>
                  <w:tcW w:w="688" w:type="dxa"/>
                  <w:noWrap/>
                  <w:vAlign w:val="center"/>
                </w:tcPr>
                <w:p w14:paraId="2682F4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39.2</w:t>
                  </w:r>
                </w:p>
              </w:tc>
              <w:tc>
                <w:tcPr>
                  <w:tcW w:w="686" w:type="dxa"/>
                  <w:noWrap/>
                  <w:vAlign w:val="center"/>
                </w:tcPr>
                <w:p w14:paraId="7D1A3C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5.2</w:t>
                  </w:r>
                </w:p>
              </w:tc>
              <w:tc>
                <w:tcPr>
                  <w:tcW w:w="704" w:type="dxa"/>
                  <w:noWrap/>
                  <w:vAlign w:val="center"/>
                </w:tcPr>
                <w:p w14:paraId="1DAECA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10.4</w:t>
                  </w:r>
                </w:p>
              </w:tc>
              <w:tc>
                <w:tcPr>
                  <w:tcW w:w="804" w:type="dxa"/>
                  <w:noWrap/>
                  <w:vAlign w:val="center"/>
                </w:tcPr>
                <w:p w14:paraId="211EAF0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136.5</w:t>
                  </w:r>
                </w:p>
              </w:tc>
              <w:tc>
                <w:tcPr>
                  <w:tcW w:w="839" w:type="dxa"/>
                  <w:noWrap/>
                  <w:vAlign w:val="center"/>
                </w:tcPr>
                <w:p w14:paraId="014082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1.1</w:t>
                  </w:r>
                </w:p>
              </w:tc>
              <w:tc>
                <w:tcPr>
                  <w:tcW w:w="582" w:type="dxa"/>
                  <w:noWrap/>
                  <w:vAlign w:val="center"/>
                </w:tcPr>
                <w:p w14:paraId="512F13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2.71 </w:t>
                  </w:r>
                </w:p>
              </w:tc>
              <w:tc>
                <w:tcPr>
                  <w:tcW w:w="424" w:type="dxa"/>
                  <w:noWrap/>
                  <w:vAlign w:val="center"/>
                </w:tcPr>
                <w:p w14:paraId="40E95912">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6072F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781BCB6C">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射洪市</w:t>
                  </w:r>
                </w:p>
              </w:tc>
              <w:tc>
                <w:tcPr>
                  <w:tcW w:w="1147" w:type="dxa"/>
                  <w:noWrap/>
                  <w:vAlign w:val="center"/>
                </w:tcPr>
                <w:p w14:paraId="2EA73F0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生态环境局</w:t>
                  </w:r>
                </w:p>
              </w:tc>
              <w:tc>
                <w:tcPr>
                  <w:tcW w:w="675" w:type="dxa"/>
                  <w:noWrap/>
                  <w:vAlign w:val="center"/>
                </w:tcPr>
                <w:p w14:paraId="16720C3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94.8%</w:t>
                  </w:r>
                </w:p>
              </w:tc>
              <w:tc>
                <w:tcPr>
                  <w:tcW w:w="675" w:type="dxa"/>
                  <w:noWrap/>
                  <w:vAlign w:val="center"/>
                </w:tcPr>
                <w:p w14:paraId="1C1FFD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25.0</w:t>
                  </w:r>
                </w:p>
              </w:tc>
              <w:tc>
                <w:tcPr>
                  <w:tcW w:w="688" w:type="dxa"/>
                  <w:noWrap/>
                  <w:vAlign w:val="center"/>
                </w:tcPr>
                <w:p w14:paraId="27DF4D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52.2</w:t>
                  </w:r>
                </w:p>
              </w:tc>
              <w:tc>
                <w:tcPr>
                  <w:tcW w:w="686" w:type="dxa"/>
                  <w:noWrap/>
                  <w:vAlign w:val="center"/>
                </w:tcPr>
                <w:p w14:paraId="3511BD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3.5</w:t>
                  </w:r>
                </w:p>
              </w:tc>
              <w:tc>
                <w:tcPr>
                  <w:tcW w:w="704" w:type="dxa"/>
                  <w:noWrap/>
                  <w:vAlign w:val="center"/>
                </w:tcPr>
                <w:p w14:paraId="580045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13.3</w:t>
                  </w:r>
                </w:p>
              </w:tc>
              <w:tc>
                <w:tcPr>
                  <w:tcW w:w="804" w:type="dxa"/>
                  <w:noWrap/>
                  <w:vAlign w:val="center"/>
                </w:tcPr>
                <w:p w14:paraId="3A7C56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123.5</w:t>
                  </w:r>
                </w:p>
              </w:tc>
              <w:tc>
                <w:tcPr>
                  <w:tcW w:w="839" w:type="dxa"/>
                  <w:noWrap/>
                  <w:vAlign w:val="center"/>
                </w:tcPr>
                <w:p w14:paraId="284C5B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1.1</w:t>
                  </w:r>
                </w:p>
              </w:tc>
              <w:tc>
                <w:tcPr>
                  <w:tcW w:w="582" w:type="dxa"/>
                  <w:noWrap/>
                  <w:vAlign w:val="center"/>
                </w:tcPr>
                <w:p w14:paraId="709C7F4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2.90 </w:t>
                  </w:r>
                </w:p>
              </w:tc>
              <w:tc>
                <w:tcPr>
                  <w:tcW w:w="424" w:type="dxa"/>
                  <w:noWrap/>
                  <w:vAlign w:val="center"/>
                </w:tcPr>
                <w:p w14:paraId="11C14471">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5FFF02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3B471A8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t>蓬溪县</w:t>
                  </w:r>
                </w:p>
              </w:tc>
              <w:tc>
                <w:tcPr>
                  <w:tcW w:w="1147" w:type="dxa"/>
                  <w:noWrap/>
                  <w:vAlign w:val="center"/>
                </w:tcPr>
                <w:p w14:paraId="0E351BC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t>实验中学</w:t>
                  </w:r>
                </w:p>
              </w:tc>
              <w:tc>
                <w:tcPr>
                  <w:tcW w:w="675" w:type="dxa"/>
                  <w:noWrap/>
                  <w:vAlign w:val="center"/>
                </w:tcPr>
                <w:p w14:paraId="1689386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93.7%</w:t>
                  </w:r>
                </w:p>
              </w:tc>
              <w:tc>
                <w:tcPr>
                  <w:tcW w:w="675" w:type="dxa"/>
                  <w:noWrap/>
                  <w:vAlign w:val="center"/>
                </w:tcPr>
                <w:p w14:paraId="7D2D56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29.4</w:t>
                  </w:r>
                </w:p>
              </w:tc>
              <w:tc>
                <w:tcPr>
                  <w:tcW w:w="688" w:type="dxa"/>
                  <w:noWrap/>
                  <w:vAlign w:val="center"/>
                </w:tcPr>
                <w:p w14:paraId="48485C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44.8</w:t>
                  </w:r>
                </w:p>
              </w:tc>
              <w:tc>
                <w:tcPr>
                  <w:tcW w:w="686" w:type="dxa"/>
                  <w:noWrap/>
                  <w:vAlign w:val="center"/>
                </w:tcPr>
                <w:p w14:paraId="561AB7A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6.9</w:t>
                  </w:r>
                </w:p>
              </w:tc>
              <w:tc>
                <w:tcPr>
                  <w:tcW w:w="704" w:type="dxa"/>
                  <w:noWrap/>
                  <w:vAlign w:val="center"/>
                </w:tcPr>
                <w:p w14:paraId="474AD5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15.3</w:t>
                  </w:r>
                </w:p>
              </w:tc>
              <w:tc>
                <w:tcPr>
                  <w:tcW w:w="804" w:type="dxa"/>
                  <w:noWrap/>
                  <w:vAlign w:val="center"/>
                </w:tcPr>
                <w:p w14:paraId="0462D2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127.5</w:t>
                  </w:r>
                </w:p>
              </w:tc>
              <w:tc>
                <w:tcPr>
                  <w:tcW w:w="839" w:type="dxa"/>
                  <w:noWrap/>
                  <w:vAlign w:val="center"/>
                </w:tcPr>
                <w:p w14:paraId="3960FA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40E9D7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 xml:space="preserve">3.02 </w:t>
                  </w:r>
                </w:p>
              </w:tc>
              <w:tc>
                <w:tcPr>
                  <w:tcW w:w="424" w:type="dxa"/>
                  <w:noWrap/>
                  <w:vAlign w:val="center"/>
                </w:tcPr>
                <w:p w14:paraId="3673CA5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t>是</w:t>
                  </w:r>
                </w:p>
              </w:tc>
            </w:tr>
            <w:tr w14:paraId="368DAE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156BFDD5">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大英县</w:t>
                  </w:r>
                </w:p>
              </w:tc>
              <w:tc>
                <w:tcPr>
                  <w:tcW w:w="1147" w:type="dxa"/>
                  <w:noWrap/>
                  <w:vAlign w:val="center"/>
                </w:tcPr>
                <w:p w14:paraId="60643EE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大英县气象观测站</w:t>
                  </w:r>
                </w:p>
              </w:tc>
              <w:tc>
                <w:tcPr>
                  <w:tcW w:w="675" w:type="dxa"/>
                  <w:noWrap/>
                  <w:vAlign w:val="center"/>
                </w:tcPr>
                <w:p w14:paraId="44CB62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95.4%</w:t>
                  </w:r>
                </w:p>
              </w:tc>
              <w:tc>
                <w:tcPr>
                  <w:tcW w:w="675" w:type="dxa"/>
                  <w:noWrap/>
                  <w:vAlign w:val="center"/>
                </w:tcPr>
                <w:p w14:paraId="11DD06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25.7</w:t>
                  </w:r>
                </w:p>
              </w:tc>
              <w:tc>
                <w:tcPr>
                  <w:tcW w:w="688" w:type="dxa"/>
                  <w:noWrap/>
                  <w:vAlign w:val="center"/>
                </w:tcPr>
                <w:p w14:paraId="536FAD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39.5</w:t>
                  </w:r>
                </w:p>
              </w:tc>
              <w:tc>
                <w:tcPr>
                  <w:tcW w:w="686" w:type="dxa"/>
                  <w:noWrap/>
                  <w:vAlign w:val="center"/>
                </w:tcPr>
                <w:p w14:paraId="1BA2AA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4.5</w:t>
                  </w:r>
                </w:p>
              </w:tc>
              <w:tc>
                <w:tcPr>
                  <w:tcW w:w="704" w:type="dxa"/>
                  <w:noWrap/>
                  <w:vAlign w:val="center"/>
                </w:tcPr>
                <w:p w14:paraId="647420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10.9</w:t>
                  </w:r>
                </w:p>
              </w:tc>
              <w:tc>
                <w:tcPr>
                  <w:tcW w:w="804" w:type="dxa"/>
                  <w:noWrap/>
                  <w:vAlign w:val="center"/>
                </w:tcPr>
                <w:p w14:paraId="02DD9E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128.0</w:t>
                  </w:r>
                </w:p>
              </w:tc>
              <w:tc>
                <w:tcPr>
                  <w:tcW w:w="839" w:type="dxa"/>
                  <w:noWrap/>
                  <w:vAlign w:val="center"/>
                </w:tcPr>
                <w:p w14:paraId="2712D0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w:t>
                  </w:r>
                </w:p>
              </w:tc>
              <w:tc>
                <w:tcPr>
                  <w:tcW w:w="582" w:type="dxa"/>
                  <w:noWrap/>
                  <w:vAlign w:val="center"/>
                </w:tcPr>
                <w:p w14:paraId="5628E9C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2.75 </w:t>
                  </w:r>
                </w:p>
              </w:tc>
              <w:tc>
                <w:tcPr>
                  <w:tcW w:w="424" w:type="dxa"/>
                  <w:noWrap/>
                  <w:vAlign w:val="center"/>
                </w:tcPr>
                <w:p w14:paraId="079089FA">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bl>
          <w:p w14:paraId="1E23FC16">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由表3-1可知，项目所在区域空气质量良好，SO</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2</w:t>
            </w:r>
            <w:r>
              <w:rPr>
                <w:rFonts w:hint="eastAsia" w:ascii="Times New Roman" w:hAnsi="Times New Roman" w:eastAsia="宋体"/>
                <w:color w:val="000000" w:themeColor="text1"/>
                <w:kern w:val="0"/>
                <w:sz w:val="24"/>
                <w:szCs w:val="24"/>
                <w:highlight w:val="none"/>
                <w14:textFill>
                  <w14:solidFill>
                    <w14:schemeClr w14:val="tx1"/>
                  </w14:solidFill>
                </w14:textFill>
              </w:rPr>
              <w:t>、CO、NO</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2</w:t>
            </w:r>
            <w:r>
              <w:rPr>
                <w:rFonts w:hint="eastAsia" w:ascii="Times New Roman" w:hAnsi="Times New Roman" w:eastAsia="宋体"/>
                <w:color w:val="000000" w:themeColor="text1"/>
                <w:kern w:val="0"/>
                <w:sz w:val="24"/>
                <w:szCs w:val="24"/>
                <w:highlight w:val="none"/>
                <w14:textFill>
                  <w14:solidFill>
                    <w14:schemeClr w14:val="tx1"/>
                  </w14:solidFill>
                </w14:textFill>
              </w:rPr>
              <w:t>、PM</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2.5</w:t>
            </w:r>
            <w:r>
              <w:rPr>
                <w:rFonts w:hint="eastAsia" w:ascii="Times New Roman" w:hAnsi="Times New Roman" w:eastAsia="宋体"/>
                <w:color w:val="000000" w:themeColor="text1"/>
                <w:kern w:val="0"/>
                <w:sz w:val="24"/>
                <w:szCs w:val="24"/>
                <w:highlight w:val="none"/>
                <w14:textFill>
                  <w14:solidFill>
                    <w14:schemeClr w14:val="tx1"/>
                  </w14:solidFill>
                </w14:textFill>
              </w:rPr>
              <w:t>、PM</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10</w:t>
            </w:r>
            <w:r>
              <w:rPr>
                <w:rFonts w:hint="eastAsia" w:ascii="Times New Roman" w:hAnsi="Times New Roman" w:eastAsia="宋体"/>
                <w:color w:val="000000" w:themeColor="text1"/>
                <w:kern w:val="0"/>
                <w:sz w:val="24"/>
                <w:szCs w:val="24"/>
                <w:highlight w:val="none"/>
                <w14:textFill>
                  <w14:solidFill>
                    <w14:schemeClr w14:val="tx1"/>
                  </w14:solidFill>
                </w14:textFill>
              </w:rPr>
              <w:t>、O</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3</w:t>
            </w:r>
            <w:r>
              <w:rPr>
                <w:rFonts w:hint="eastAsia" w:ascii="Times New Roman" w:hAnsi="Times New Roman" w:eastAsia="宋体"/>
                <w:color w:val="000000" w:themeColor="text1"/>
                <w:kern w:val="0"/>
                <w:sz w:val="24"/>
                <w:szCs w:val="24"/>
                <w:highlight w:val="none"/>
                <w14:textFill>
                  <w14:solidFill>
                    <w14:schemeClr w14:val="tx1"/>
                  </w14:solidFill>
                </w14:textFill>
              </w:rPr>
              <w:t>浓度均能满足《环境空气质量标准》（GB3095-2012）中二级标准，本项目所在区域属于达标区。</w:t>
            </w:r>
          </w:p>
          <w:p w14:paraId="2781F094">
            <w:pPr>
              <w:spacing w:line="500" w:lineRule="exact"/>
              <w:ind w:firstLine="482" w:firstLineChars="200"/>
              <w:rPr>
                <w:rFonts w:hint="eastAsia"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2、其他污染物环境质量现状</w:t>
            </w:r>
          </w:p>
          <w:p w14:paraId="369E5BBC">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本项目排放特征污染物主要是颗粒物，本项目为了解项目所在区域大气环境质量，</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建设单位委托</w:t>
            </w:r>
            <w:r>
              <w:rPr>
                <w:rFonts w:hint="eastAsia" w:ascii="Times New Roman" w:hAnsi="Times New Roman" w:eastAsia="宋体"/>
                <w:color w:val="000000" w:themeColor="text1"/>
                <w:kern w:val="0"/>
                <w:sz w:val="24"/>
                <w:szCs w:val="24"/>
                <w:highlight w:val="none"/>
                <w14:textFill>
                  <w14:solidFill>
                    <w14:schemeClr w14:val="tx1"/>
                  </w14:solidFill>
                </w14:textFill>
              </w:rPr>
              <w:t>四川锡水金山环保科技有限公司于202</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olor w:val="000000" w:themeColor="text1"/>
                <w:kern w:val="0"/>
                <w:sz w:val="24"/>
                <w:szCs w:val="24"/>
                <w:highlight w:val="none"/>
                <w14:textFill>
                  <w14:solidFill>
                    <w14:schemeClr w14:val="tx1"/>
                  </w14:solidFill>
                </w14:textFill>
              </w:rPr>
              <w:t>年8月</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10</w:t>
            </w:r>
            <w:r>
              <w:rPr>
                <w:rFonts w:hint="eastAsia" w:ascii="Times New Roman" w:hAnsi="Times New Roman" w:eastAsia="宋体"/>
                <w:color w:val="000000" w:themeColor="text1"/>
                <w:kern w:val="0"/>
                <w:sz w:val="24"/>
                <w:szCs w:val="24"/>
                <w:highlight w:val="none"/>
                <w14:textFill>
                  <w14:solidFill>
                    <w14:schemeClr w14:val="tx1"/>
                  </w14:solidFill>
                </w14:textFill>
              </w:rPr>
              <w:t>日~202</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olor w:val="000000" w:themeColor="text1"/>
                <w:kern w:val="0"/>
                <w:sz w:val="24"/>
                <w:szCs w:val="24"/>
                <w:highlight w:val="none"/>
                <w14:textFill>
                  <w14:solidFill>
                    <w14:schemeClr w14:val="tx1"/>
                  </w14:solidFill>
                </w14:textFill>
              </w:rPr>
              <w:t>年</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8</w:t>
            </w:r>
            <w:r>
              <w:rPr>
                <w:rFonts w:hint="eastAsia" w:ascii="Times New Roman" w:hAnsi="Times New Roman" w:eastAsia="宋体"/>
                <w:color w:val="000000" w:themeColor="text1"/>
                <w:kern w:val="0"/>
                <w:sz w:val="24"/>
                <w:szCs w:val="24"/>
                <w:highlight w:val="none"/>
                <w14:textFill>
                  <w14:solidFill>
                    <w14:schemeClr w14:val="tx1"/>
                  </w14:solidFill>
                </w14:textFill>
              </w:rPr>
              <w:t>月</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12</w:t>
            </w:r>
            <w:r>
              <w:rPr>
                <w:rFonts w:hint="eastAsia" w:ascii="Times New Roman" w:hAnsi="Times New Roman" w:eastAsia="宋体"/>
                <w:color w:val="000000" w:themeColor="text1"/>
                <w:kern w:val="0"/>
                <w:sz w:val="24"/>
                <w:szCs w:val="24"/>
                <w:highlight w:val="none"/>
                <w14:textFill>
                  <w14:solidFill>
                    <w14:schemeClr w14:val="tx1"/>
                  </w14:solidFill>
                </w14:textFill>
              </w:rPr>
              <w:t>日</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对项目所在地</w:t>
            </w:r>
            <w:r>
              <w:rPr>
                <w:rFonts w:hint="eastAsia" w:ascii="Times New Roman" w:hAnsi="Times New Roman" w:eastAsia="宋体"/>
                <w:color w:val="000000" w:themeColor="text1"/>
                <w:kern w:val="0"/>
                <w:sz w:val="24"/>
                <w:szCs w:val="24"/>
                <w:highlight w:val="none"/>
                <w14:textFill>
                  <w14:solidFill>
                    <w14:schemeClr w14:val="tx1"/>
                  </w14:solidFill>
                </w14:textFill>
              </w:rPr>
              <w:t>TSP</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环境质量现状进行</w:t>
            </w:r>
            <w:r>
              <w:rPr>
                <w:rFonts w:hint="eastAsia" w:ascii="Times New Roman" w:hAnsi="Times New Roman" w:eastAsia="宋体"/>
                <w:color w:val="000000" w:themeColor="text1"/>
                <w:kern w:val="0"/>
                <w:sz w:val="24"/>
                <w:szCs w:val="24"/>
                <w:highlight w:val="none"/>
                <w14:textFill>
                  <w14:solidFill>
                    <w14:schemeClr w14:val="tx1"/>
                  </w14:solidFill>
                </w14:textFill>
              </w:rPr>
              <w:t>现场检测。</w:t>
            </w:r>
          </w:p>
          <w:p w14:paraId="0E396579">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（1）监测点位、监测项目、监测时间及频次</w:t>
            </w:r>
          </w:p>
          <w:p w14:paraId="74D04072">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监测点位：项目</w:t>
            </w:r>
            <w:r>
              <w:rPr>
                <w:rFonts w:hint="eastAsia" w:ascii="Times New Roman" w:hAnsi="Times New Roman" w:eastAsia="宋体"/>
                <w:color w:val="000000" w:themeColor="text1"/>
                <w:sz w:val="24"/>
                <w:szCs w:val="24"/>
                <w:highlight w:val="none"/>
                <w:lang w:eastAsia="zh-CN"/>
                <w14:textFill>
                  <w14:solidFill>
                    <w14:schemeClr w14:val="tx1"/>
                  </w14:solidFill>
                </w14:textFill>
              </w:rPr>
              <w:t>西南侧厂界外</w:t>
            </w:r>
          </w:p>
          <w:p w14:paraId="3669A64A">
            <w:pPr>
              <w:adjustRightInd w:val="0"/>
              <w:spacing w:line="500" w:lineRule="exact"/>
              <w:ind w:firstLine="480" w:firstLineChars="200"/>
              <w:rPr>
                <w:rFonts w:ascii="Times New Roman" w:hAnsi="Times New Roman" w:eastAsia="宋体"/>
                <w:color w:val="000000" w:themeColor="text1"/>
                <w:sz w:val="24"/>
                <w:szCs w:val="24"/>
                <w:highlight w:val="none"/>
                <w:vertAlign w:val="subscript"/>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监测因子：</w:t>
            </w:r>
            <w:r>
              <w:rPr>
                <w:rFonts w:ascii="Times New Roman" w:hAnsi="Times New Roman" w:eastAsia="宋体"/>
                <w:color w:val="000000" w:themeColor="text1"/>
                <w:sz w:val="24"/>
                <w:szCs w:val="24"/>
                <w:highlight w:val="none"/>
                <w14:textFill>
                  <w14:solidFill>
                    <w14:schemeClr w14:val="tx1"/>
                  </w14:solidFill>
                </w14:textFill>
              </w:rPr>
              <w:t>TSP</w:t>
            </w:r>
          </w:p>
          <w:p w14:paraId="576014DD">
            <w:pPr>
              <w:spacing w:line="500" w:lineRule="exact"/>
              <w:ind w:firstLine="480" w:firstLineChars="200"/>
              <w:rPr>
                <w:rFonts w:ascii="Times New Roman" w:hAnsi="Times New Roman" w:eastAsia="宋体"/>
                <w:color w:val="000000" w:themeColor="text1"/>
                <w:sz w:val="24"/>
                <w:highlight w:val="none"/>
                <w:vertAlign w:val="superscript"/>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监测时间及频次：连续</w:t>
            </w:r>
            <w:r>
              <w:rPr>
                <w:rFonts w:ascii="Times New Roman" w:hAnsi="Times New Roman" w:eastAsia="宋体"/>
                <w:color w:val="000000" w:themeColor="text1"/>
                <w:sz w:val="24"/>
                <w:szCs w:val="24"/>
                <w:highlight w:val="none"/>
                <w14:textFill>
                  <w14:solidFill>
                    <w14:schemeClr w14:val="tx1"/>
                  </w14:solidFill>
                </w14:textFill>
              </w:rPr>
              <w:t>监测</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天。TSP</w:t>
            </w:r>
            <w:r>
              <w:rPr>
                <w:rFonts w:hint="eastAsia" w:ascii="Times New Roman" w:hAnsi="Times New Roman" w:eastAsia="宋体"/>
                <w:color w:val="000000" w:themeColor="text1"/>
                <w:sz w:val="24"/>
                <w:szCs w:val="24"/>
                <w:highlight w:val="none"/>
                <w14:textFill>
                  <w14:solidFill>
                    <w14:schemeClr w14:val="tx1"/>
                  </w14:solidFill>
                </w14:textFill>
              </w:rPr>
              <w:t>测日平均浓度，每天采样一次。</w:t>
            </w:r>
          </w:p>
          <w:p w14:paraId="0B5127C7">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监测结果统计与评价</w:t>
            </w:r>
          </w:p>
          <w:p w14:paraId="41D9E142">
            <w:pPr>
              <w:spacing w:line="500" w:lineRule="exact"/>
              <w:ind w:firstLine="480" w:firstLineChars="200"/>
              <w:jc w:val="left"/>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监测统计结果见下表。</w:t>
            </w:r>
          </w:p>
          <w:p w14:paraId="0829B0FF">
            <w:pPr>
              <w:widowControl/>
              <w:spacing w:line="360" w:lineRule="atLeast"/>
              <w:ind w:firstLine="413" w:firstLineChars="196"/>
              <w:jc w:val="right"/>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表3-</w:t>
            </w:r>
            <w:r>
              <w:rPr>
                <w:rFonts w:hint="eastAsia" w:ascii="Times New Roman" w:hAnsi="Times New Roman" w:eastAsia="宋体"/>
                <w:b/>
                <w:color w:val="000000" w:themeColor="text1"/>
                <w:szCs w:val="21"/>
                <w:highlight w:val="none"/>
                <w14:textFill>
                  <w14:solidFill>
                    <w14:schemeClr w14:val="tx1"/>
                  </w14:solidFill>
                </w14:textFill>
              </w:rPr>
              <w:t>2</w:t>
            </w:r>
            <w:r>
              <w:rPr>
                <w:rFonts w:ascii="Times New Roman" w:hAnsi="Times New Roman" w:eastAsia="宋体"/>
                <w:b/>
                <w:color w:val="000000" w:themeColor="text1"/>
                <w:szCs w:val="21"/>
                <w:highlight w:val="none"/>
                <w14:textFill>
                  <w14:solidFill>
                    <w14:schemeClr w14:val="tx1"/>
                  </w14:solidFill>
                </w14:textFill>
              </w:rPr>
              <w:t xml:space="preserve"> </w:t>
            </w:r>
            <w:r>
              <w:rPr>
                <w:rFonts w:hint="eastAsia" w:ascii="Times New Roman" w:hAnsi="Times New Roman" w:eastAsia="宋体"/>
                <w:b/>
                <w:color w:val="000000" w:themeColor="text1"/>
                <w:szCs w:val="21"/>
                <w:highlight w:val="none"/>
                <w14:textFill>
                  <w14:solidFill>
                    <w14:schemeClr w14:val="tx1"/>
                  </w14:solidFill>
                </w14:textFill>
              </w:rPr>
              <w:t xml:space="preserve">    </w:t>
            </w:r>
            <w:r>
              <w:rPr>
                <w:rFonts w:hint="eastAsia" w:ascii="Times New Roman" w:hAnsi="Times New Roman" w:eastAsia="宋体"/>
                <w:b/>
                <w:color w:val="000000" w:themeColor="text1"/>
                <w:szCs w:val="21"/>
                <w:highlight w:val="none"/>
                <w:lang w:val="en-US" w:eastAsia="zh-CN"/>
                <w14:textFill>
                  <w14:solidFill>
                    <w14:schemeClr w14:val="tx1"/>
                  </w14:solidFill>
                </w14:textFill>
              </w:rPr>
              <w:t xml:space="preserve"> </w:t>
            </w:r>
            <w:r>
              <w:rPr>
                <w:rFonts w:ascii="Times New Roman" w:hAnsi="Times New Roman" w:eastAsia="宋体"/>
                <w:b/>
                <w:color w:val="000000" w:themeColor="text1"/>
                <w:szCs w:val="21"/>
                <w:highlight w:val="none"/>
                <w14:textFill>
                  <w14:solidFill>
                    <w14:schemeClr w14:val="tx1"/>
                  </w14:solidFill>
                </w14:textFill>
              </w:rPr>
              <w:t xml:space="preserve">环境空气监测结果表  </w:t>
            </w:r>
            <w:r>
              <w:rPr>
                <w:rFonts w:hint="eastAsia" w:ascii="Times New Roman" w:hAnsi="Times New Roman" w:eastAsia="宋体"/>
                <w:b/>
                <w:color w:val="000000" w:themeColor="text1"/>
                <w:szCs w:val="21"/>
                <w:highlight w:val="none"/>
                <w14:textFill>
                  <w14:solidFill>
                    <w14:schemeClr w14:val="tx1"/>
                  </w14:solidFill>
                </w14:textFill>
              </w:rPr>
              <w:t xml:space="preserve">             </w:t>
            </w:r>
            <w:r>
              <w:rPr>
                <w:rFonts w:ascii="Times New Roman" w:hAnsi="Times New Roman" w:eastAsia="宋体"/>
                <w:b/>
                <w:color w:val="000000" w:themeColor="text1"/>
                <w:szCs w:val="21"/>
                <w:highlight w:val="none"/>
                <w14:textFill>
                  <w14:solidFill>
                    <w14:schemeClr w14:val="tx1"/>
                  </w14:solidFill>
                </w14:textFill>
              </w:rPr>
              <w:t>单位：mg/m</w:t>
            </w:r>
            <w:r>
              <w:rPr>
                <w:rFonts w:ascii="Times New Roman" w:hAnsi="Times New Roman" w:eastAsia="宋体"/>
                <w:b/>
                <w:color w:val="000000" w:themeColor="text1"/>
                <w:szCs w:val="21"/>
                <w:highlight w:val="none"/>
                <w:vertAlign w:val="superscript"/>
                <w14:textFill>
                  <w14:solidFill>
                    <w14:schemeClr w14:val="tx1"/>
                  </w14:solidFill>
                </w14:textFill>
              </w:rPr>
              <w:t>3</w:t>
            </w:r>
          </w:p>
          <w:tbl>
            <w:tblPr>
              <w:tblStyle w:val="20"/>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40"/>
              <w:gridCol w:w="1728"/>
              <w:gridCol w:w="1222"/>
              <w:gridCol w:w="1222"/>
              <w:gridCol w:w="1223"/>
              <w:gridCol w:w="1406"/>
            </w:tblGrid>
            <w:tr w14:paraId="41D004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71" w:type="pct"/>
                  <w:vMerge w:val="restart"/>
                  <w:noWrap w:val="0"/>
                  <w:vAlign w:val="center"/>
                </w:tcPr>
                <w:p w14:paraId="6ACA5F45">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监测点位</w:t>
                  </w:r>
                </w:p>
              </w:tc>
              <w:tc>
                <w:tcPr>
                  <w:tcW w:w="1074" w:type="pct"/>
                  <w:vMerge w:val="restart"/>
                  <w:noWrap w:val="0"/>
                  <w:vAlign w:val="center"/>
                </w:tcPr>
                <w:p w14:paraId="4170C924">
                  <w:pPr>
                    <w:pStyle w:val="58"/>
                    <w:spacing w:line="240" w:lineRule="auto"/>
                    <w:ind w:left="0" w:right="0" w:firstLine="0"/>
                    <w:jc w:val="cente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检测项目</w:t>
                  </w:r>
                </w:p>
              </w:tc>
              <w:tc>
                <w:tcPr>
                  <w:tcW w:w="2280" w:type="pct"/>
                  <w:gridSpan w:val="3"/>
                  <w:noWrap w:val="0"/>
                  <w:vAlign w:val="center"/>
                </w:tcPr>
                <w:p w14:paraId="203E7525">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检测结果（日均值）</w:t>
                  </w:r>
                </w:p>
              </w:tc>
              <w:tc>
                <w:tcPr>
                  <w:tcW w:w="874" w:type="pct"/>
                  <w:vMerge w:val="restart"/>
                  <w:noWrap w:val="0"/>
                  <w:vAlign w:val="center"/>
                </w:tcPr>
                <w:p w14:paraId="5E4CCB4F">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标准</w:t>
                  </w:r>
                  <w:r>
                    <w:rPr>
                      <w:rFonts w:hint="eastAsia"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限值</w:t>
                  </w:r>
                </w:p>
              </w:tc>
            </w:tr>
            <w:tr w14:paraId="4FF01E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71" w:type="pct"/>
                  <w:vMerge w:val="continue"/>
                  <w:noWrap w:val="0"/>
                  <w:vAlign w:val="center"/>
                </w:tcPr>
                <w:p w14:paraId="40134729">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074" w:type="pct"/>
                  <w:vMerge w:val="continue"/>
                  <w:noWrap w:val="0"/>
                  <w:vAlign w:val="center"/>
                </w:tcPr>
                <w:p w14:paraId="19D55E9E">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759" w:type="pct"/>
                  <w:noWrap w:val="0"/>
                  <w:vAlign w:val="center"/>
                </w:tcPr>
                <w:p w14:paraId="1910BB64">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8</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月</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日</w:t>
                  </w:r>
                </w:p>
              </w:tc>
              <w:tc>
                <w:tcPr>
                  <w:tcW w:w="759" w:type="pct"/>
                  <w:noWrap w:val="0"/>
                  <w:vAlign w:val="center"/>
                </w:tcPr>
                <w:p w14:paraId="2F005CC3">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8</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月</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11</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日</w:t>
                  </w:r>
                </w:p>
              </w:tc>
              <w:tc>
                <w:tcPr>
                  <w:tcW w:w="760" w:type="pct"/>
                  <w:noWrap w:val="0"/>
                  <w:vAlign w:val="center"/>
                </w:tcPr>
                <w:p w14:paraId="68CF2ED8">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8</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月</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12</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日</w:t>
                  </w:r>
                </w:p>
              </w:tc>
              <w:tc>
                <w:tcPr>
                  <w:tcW w:w="874" w:type="pct"/>
                  <w:vMerge w:val="continue"/>
                  <w:noWrap w:val="0"/>
                  <w:vAlign w:val="center"/>
                </w:tcPr>
                <w:p w14:paraId="0C49F8D1">
                  <w:pPr>
                    <w:pStyle w:val="58"/>
                    <w:spacing w:line="240" w:lineRule="auto"/>
                    <w:ind w:left="0" w:right="0" w:firstLine="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167DF9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71" w:type="pct"/>
                  <w:noWrap w:val="0"/>
                  <w:vAlign w:val="center"/>
                </w:tcPr>
                <w:p w14:paraId="55D8E093">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1074" w:type="pct"/>
                  <w:noWrap w:val="0"/>
                  <w:vAlign w:val="center"/>
                </w:tcPr>
                <w:p w14:paraId="0EE9BF7F">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总悬浮颗粒物</w:t>
                  </w:r>
                </w:p>
              </w:tc>
              <w:tc>
                <w:tcPr>
                  <w:tcW w:w="759" w:type="pct"/>
                  <w:noWrap w:val="0"/>
                  <w:vAlign w:val="center"/>
                </w:tcPr>
                <w:p w14:paraId="0290F0E8">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0.087</w:t>
                  </w:r>
                </w:p>
              </w:tc>
              <w:tc>
                <w:tcPr>
                  <w:tcW w:w="759" w:type="pct"/>
                  <w:noWrap w:val="0"/>
                  <w:vAlign w:val="center"/>
                </w:tcPr>
                <w:p w14:paraId="17FCB406">
                  <w:pPr>
                    <w:pStyle w:val="58"/>
                    <w:spacing w:line="240" w:lineRule="auto"/>
                    <w:ind w:left="0" w:right="0" w:firstLine="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0.109</w:t>
                  </w:r>
                </w:p>
              </w:tc>
              <w:tc>
                <w:tcPr>
                  <w:tcW w:w="760" w:type="pct"/>
                  <w:noWrap w:val="0"/>
                  <w:vAlign w:val="center"/>
                </w:tcPr>
                <w:p w14:paraId="3BE052E5">
                  <w:pPr>
                    <w:pStyle w:val="58"/>
                    <w:spacing w:line="240" w:lineRule="auto"/>
                    <w:ind w:left="0" w:right="0" w:firstLine="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0.072</w:t>
                  </w:r>
                </w:p>
              </w:tc>
              <w:tc>
                <w:tcPr>
                  <w:tcW w:w="874" w:type="pct"/>
                  <w:noWrap w:val="0"/>
                  <w:vAlign w:val="center"/>
                </w:tcPr>
                <w:p w14:paraId="36C0D97E">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0.300</w:t>
                  </w:r>
                </w:p>
              </w:tc>
            </w:tr>
          </w:tbl>
          <w:p w14:paraId="214D828F">
            <w:pPr>
              <w:spacing w:line="360" w:lineRule="auto"/>
              <w:ind w:firstLine="480" w:firstLineChars="200"/>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现状评价：</w:t>
            </w:r>
            <w:r>
              <w:rPr>
                <w:rFonts w:hint="default" w:ascii="Times New Roman" w:hAnsi="Times New Roman" w:eastAsia="宋体" w:cs="Times New Roman"/>
                <w:color w:val="000000" w:themeColor="text1"/>
                <w:sz w:val="24"/>
                <w:szCs w:val="24"/>
                <w:highlight w:val="none"/>
                <w14:textFill>
                  <w14:solidFill>
                    <w14:schemeClr w14:val="tx1"/>
                  </w14:solidFill>
                </w14:textFill>
              </w:rPr>
              <w:t>现状评价结果见表3-</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4F99C185">
            <w:pPr>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表3-</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3  </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质量现状评价结果</w:t>
            </w:r>
          </w:p>
          <w:tbl>
            <w:tblPr>
              <w:tblStyle w:val="20"/>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93"/>
              <w:gridCol w:w="1313"/>
              <w:gridCol w:w="1128"/>
              <w:gridCol w:w="1423"/>
              <w:gridCol w:w="971"/>
              <w:gridCol w:w="859"/>
              <w:gridCol w:w="749"/>
            </w:tblGrid>
            <w:tr w14:paraId="3084CF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991" w:type="pct"/>
                  <w:noWrap w:val="0"/>
                  <w:vAlign w:val="center"/>
                </w:tcPr>
                <w:p w14:paraId="3CD773A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污染物名称</w:t>
                  </w:r>
                </w:p>
              </w:tc>
              <w:tc>
                <w:tcPr>
                  <w:tcW w:w="816" w:type="pct"/>
                  <w:noWrap w:val="0"/>
                  <w:vAlign w:val="center"/>
                </w:tcPr>
                <w:p w14:paraId="1591502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现状浓度值（mg/m</w:t>
                  </w:r>
                  <w:r>
                    <w:rPr>
                      <w:rFonts w:hint="default" w:ascii="Times New Roman" w:hAnsi="Times New Roman" w:eastAsia="宋体" w:cs="Times New Roman"/>
                      <w:b/>
                      <w:bCs/>
                      <w:color w:val="000000" w:themeColor="text1"/>
                      <w:kern w:val="0"/>
                      <w:sz w:val="21"/>
                      <w:szCs w:val="21"/>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w:t>
                  </w:r>
                </w:p>
              </w:tc>
              <w:tc>
                <w:tcPr>
                  <w:tcW w:w="701" w:type="pct"/>
                  <w:noWrap w:val="0"/>
                  <w:vAlign w:val="center"/>
                </w:tcPr>
                <w:p w14:paraId="5129FA7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标准值（mg/m</w:t>
                  </w:r>
                  <w:r>
                    <w:rPr>
                      <w:rFonts w:hint="default" w:ascii="Times New Roman" w:hAnsi="Times New Roman" w:eastAsia="宋体" w:cs="Times New Roman"/>
                      <w:b/>
                      <w:bCs/>
                      <w:color w:val="000000" w:themeColor="text1"/>
                      <w:kern w:val="0"/>
                      <w:sz w:val="21"/>
                      <w:szCs w:val="21"/>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w:t>
                  </w:r>
                </w:p>
              </w:tc>
              <w:tc>
                <w:tcPr>
                  <w:tcW w:w="885" w:type="pct"/>
                  <w:noWrap w:val="0"/>
                  <w:vAlign w:val="center"/>
                </w:tcPr>
                <w:p w14:paraId="391B348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最大占标率（%）</w:t>
                  </w:r>
                </w:p>
              </w:tc>
              <w:tc>
                <w:tcPr>
                  <w:tcW w:w="604" w:type="pct"/>
                  <w:noWrap w:val="0"/>
                  <w:vAlign w:val="center"/>
                </w:tcPr>
                <w:p w14:paraId="15ECCEF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超标率</w:t>
                  </w:r>
                </w:p>
              </w:tc>
              <w:tc>
                <w:tcPr>
                  <w:tcW w:w="534" w:type="pct"/>
                  <w:noWrap w:val="0"/>
                  <w:vAlign w:val="center"/>
                </w:tcPr>
                <w:p w14:paraId="694DF8E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最大超标倍数</w:t>
                  </w:r>
                </w:p>
              </w:tc>
              <w:tc>
                <w:tcPr>
                  <w:tcW w:w="466" w:type="pct"/>
                  <w:noWrap w:val="0"/>
                  <w:vAlign w:val="center"/>
                </w:tcPr>
                <w:p w14:paraId="0744C0B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是否达标</w:t>
                  </w:r>
                </w:p>
              </w:tc>
            </w:tr>
            <w:tr w14:paraId="15461F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991" w:type="pct"/>
                  <w:noWrap w:val="0"/>
                  <w:vAlign w:val="center"/>
                </w:tcPr>
                <w:p w14:paraId="09074173">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总悬浮颗粒物</w:t>
                  </w:r>
                </w:p>
              </w:tc>
              <w:tc>
                <w:tcPr>
                  <w:tcW w:w="816" w:type="pct"/>
                  <w:noWrap w:val="0"/>
                  <w:vAlign w:val="center"/>
                </w:tcPr>
                <w:p w14:paraId="24F111A4">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0.072~0.</w:t>
                  </w: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109</w:t>
                  </w:r>
                </w:p>
              </w:tc>
              <w:tc>
                <w:tcPr>
                  <w:tcW w:w="701" w:type="pct"/>
                  <w:noWrap w:val="0"/>
                  <w:vAlign w:val="center"/>
                </w:tcPr>
                <w:p w14:paraId="6DBA8894">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0.3</w:t>
                  </w:r>
                </w:p>
              </w:tc>
              <w:tc>
                <w:tcPr>
                  <w:tcW w:w="885" w:type="pct"/>
                  <w:noWrap w:val="0"/>
                  <w:vAlign w:val="center"/>
                </w:tcPr>
                <w:p w14:paraId="0A70E02A">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36.33</w:t>
                  </w:r>
                </w:p>
              </w:tc>
              <w:tc>
                <w:tcPr>
                  <w:tcW w:w="604" w:type="pct"/>
                  <w:noWrap w:val="0"/>
                  <w:vAlign w:val="center"/>
                </w:tcPr>
                <w:p w14:paraId="0BC79301">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c>
                <w:tcPr>
                  <w:tcW w:w="534" w:type="pct"/>
                  <w:noWrap w:val="0"/>
                  <w:vAlign w:val="center"/>
                </w:tcPr>
                <w:p w14:paraId="59E2544E">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c>
                <w:tcPr>
                  <w:tcW w:w="466" w:type="pct"/>
                  <w:noWrap w:val="0"/>
                  <w:vAlign w:val="center"/>
                </w:tcPr>
                <w:p w14:paraId="20AAF2C1">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达标</w:t>
                  </w:r>
                </w:p>
              </w:tc>
            </w:tr>
          </w:tbl>
          <w:p w14:paraId="5AE91137">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评价结果表明，环境空气质量满足《环境空气质量标准》（GB3095-</w:t>
            </w:r>
            <w:r>
              <w:rPr>
                <w:rFonts w:hint="eastAsia" w:ascii="Times New Roman" w:hAnsi="Times New Roman" w:eastAsia="宋体"/>
                <w:color w:val="000000" w:themeColor="text1"/>
                <w:sz w:val="24"/>
                <w:szCs w:val="24"/>
                <w:highlight w:val="none"/>
                <w14:textFill>
                  <w14:solidFill>
                    <w14:schemeClr w14:val="tx1"/>
                  </w14:solidFill>
                </w14:textFill>
              </w:rPr>
              <w:t>2012</w:t>
            </w:r>
            <w:r>
              <w:rPr>
                <w:rFonts w:ascii="Times New Roman" w:hAnsi="Times New Roman" w:eastAsia="宋体"/>
                <w:color w:val="000000" w:themeColor="text1"/>
                <w:sz w:val="24"/>
                <w:szCs w:val="24"/>
                <w:highlight w:val="none"/>
                <w14:textFill>
                  <w14:solidFill>
                    <w14:schemeClr w14:val="tx1"/>
                  </w14:solidFill>
                </w14:textFill>
              </w:rPr>
              <w:t>）二级标准的要求，说明该区域环境空气质量现状良好。</w:t>
            </w:r>
          </w:p>
          <w:p w14:paraId="4B55CCA1">
            <w:pPr>
              <w:spacing w:line="500" w:lineRule="exact"/>
              <w:rPr>
                <w:rFonts w:ascii="Times New Roman" w:hAnsi="Times New Roman" w:eastAsia="宋体"/>
                <w:b/>
                <w:color w:val="000000" w:themeColor="text1"/>
                <w:sz w:val="24"/>
                <w:szCs w:val="21"/>
                <w:highlight w:val="none"/>
                <w14:textFill>
                  <w14:solidFill>
                    <w14:schemeClr w14:val="tx1"/>
                  </w14:solidFill>
                </w14:textFill>
              </w:rPr>
            </w:pPr>
            <w:r>
              <w:rPr>
                <w:rFonts w:hint="eastAsia" w:ascii="Times New Roman" w:hAnsi="Times New Roman" w:eastAsia="宋体"/>
                <w:b/>
                <w:color w:val="000000" w:themeColor="text1"/>
                <w:sz w:val="24"/>
                <w:szCs w:val="21"/>
                <w:highlight w:val="none"/>
                <w14:textFill>
                  <w14:solidFill>
                    <w14:schemeClr w14:val="tx1"/>
                  </w14:solidFill>
                </w14:textFill>
              </w:rPr>
              <w:t>二、地表水环境现状</w:t>
            </w:r>
          </w:p>
          <w:p w14:paraId="19814087">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本项目营运期</w:t>
            </w: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生活污水</w:t>
            </w: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经预处理后，</w:t>
            </w:r>
            <w:r>
              <w:rPr>
                <w:rFonts w:hint="eastAsia" w:ascii="Times New Roman" w:hAnsi="Times New Roman" w:eastAsia="宋体" w:cs="Times New Roman"/>
                <w:color w:val="000000" w:themeColor="text1"/>
                <w:kern w:val="0"/>
                <w:sz w:val="24"/>
                <w:szCs w:val="24"/>
                <w:highlight w:val="none"/>
                <w:lang w:eastAsia="zh-CN" w:bidi="ar"/>
                <w14:textFill>
                  <w14:solidFill>
                    <w14:schemeClr w14:val="tx1"/>
                  </w14:solidFill>
                </w14:textFill>
              </w:rPr>
              <w:t>由吸污车拉运至</w:t>
            </w: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蓬溪县宝梵污水处理厂后，排入小潼河</w:t>
            </w:r>
            <w:r>
              <w:rPr>
                <w:rFonts w:hint="eastAsia" w:ascii="Times New Roman" w:hAnsi="Times New Roman" w:eastAsia="宋体" w:cs="Times New Roman"/>
                <w:color w:val="000000" w:themeColor="text1"/>
                <w:kern w:val="0"/>
                <w:sz w:val="24"/>
                <w:szCs w:val="24"/>
                <w:highlight w:val="none"/>
                <w:lang w:eastAsia="zh-CN" w:bidi="ar"/>
                <w14:textFill>
                  <w14:solidFill>
                    <w14:schemeClr w14:val="tx1"/>
                  </w14:solidFill>
                </w14:textFill>
              </w:rPr>
              <w:t>，汇入芝溪河、涪江</w:t>
            </w: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。生产废水循环使用，不外排</w:t>
            </w: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w:t>
            </w:r>
          </w:p>
          <w:p w14:paraId="6D047572">
            <w:pPr>
              <w:widowControl/>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项目地表水环境根据《2021年遂宁市环境质量公告</w:t>
            </w:r>
            <w:r>
              <w:rPr>
                <w:rFonts w:hint="default" w:ascii="Times New Roman" w:hAnsi="Times New Roman" w:eastAsia="宋体" w:cs="Times New Roman"/>
                <w:color w:val="000000" w:themeColor="text1"/>
                <w:sz w:val="24"/>
                <w:szCs w:val="24"/>
                <w:highlight w:val="none"/>
                <w14:textFill>
                  <w14:solidFill>
                    <w14:schemeClr w14:val="tx1"/>
                  </w14:solidFill>
                </w14:textFill>
              </w:rPr>
              <w:t>》进行评价，202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年遂宁辖区内9个国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省控地表水监测断面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（含</w:t>
            </w:r>
            <w:r>
              <w:rPr>
                <w:rFonts w:hint="default" w:ascii="Times New Roman" w:hAnsi="Times New Roman" w:eastAsia="宋体" w:cs="Times New Roman"/>
                <w:color w:val="000000" w:themeColor="text1"/>
                <w:sz w:val="24"/>
                <w:szCs w:val="24"/>
                <w:highlight w:val="none"/>
                <w14:textFill>
                  <w14:solidFill>
                    <w14:schemeClr w14:val="tx1"/>
                  </w14:solidFill>
                </w14:textFill>
              </w:rPr>
              <w:t>2个长江经济带监测断面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和</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1个趋势科研断面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水环境质量状况、主要污染因子</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指标</w:t>
            </w:r>
            <w:r>
              <w:rPr>
                <w:rFonts w:hint="default" w:ascii="Times New Roman" w:hAnsi="Times New Roman" w:eastAsia="宋体" w:cs="Times New Roman"/>
                <w:color w:val="000000" w:themeColor="text1"/>
                <w:sz w:val="24"/>
                <w:szCs w:val="24"/>
                <w:highlight w:val="none"/>
                <w14:textFill>
                  <w14:solidFill>
                    <w14:schemeClr w14:val="tx1"/>
                  </w14:solidFill>
                </w14:textFill>
              </w:rPr>
              <w:t>、环比和同比情况见下表。</w:t>
            </w:r>
          </w:p>
          <w:p w14:paraId="3A969FC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t>表3-</w:t>
            </w:r>
            <w:r>
              <w:rPr>
                <w:rFonts w:hint="eastAsia"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t xml:space="preserve">4  </w:t>
            </w:r>
            <w:r>
              <w:rPr>
                <w:rFonts w:hint="default"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t xml:space="preserve">  2021年遂宁河流水质评价结果表</w:t>
            </w:r>
          </w:p>
          <w:tbl>
            <w:tblPr>
              <w:tblStyle w:val="20"/>
              <w:tblW w:w="49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33"/>
              <w:gridCol w:w="923"/>
              <w:gridCol w:w="877"/>
              <w:gridCol w:w="975"/>
              <w:gridCol w:w="600"/>
              <w:gridCol w:w="694"/>
              <w:gridCol w:w="712"/>
              <w:gridCol w:w="1200"/>
              <w:gridCol w:w="1118"/>
            </w:tblGrid>
            <w:tr w14:paraId="19E6DB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1B7A760C">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河流名称</w:t>
                  </w:r>
                </w:p>
              </w:tc>
              <w:tc>
                <w:tcPr>
                  <w:tcW w:w="574" w:type="pct"/>
                  <w:noWrap w:val="0"/>
                  <w:vAlign w:val="center"/>
                </w:tcPr>
                <w:p w14:paraId="5D94056A">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断面名称</w:t>
                  </w:r>
                </w:p>
              </w:tc>
              <w:tc>
                <w:tcPr>
                  <w:tcW w:w="545" w:type="pct"/>
                  <w:noWrap w:val="0"/>
                  <w:vAlign w:val="center"/>
                </w:tcPr>
                <w:p w14:paraId="605FAE3D">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所在地</w:t>
                  </w:r>
                </w:p>
              </w:tc>
              <w:tc>
                <w:tcPr>
                  <w:tcW w:w="606" w:type="pct"/>
                  <w:noWrap w:val="0"/>
                  <w:vAlign w:val="center"/>
                </w:tcPr>
                <w:p w14:paraId="544C67D2">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断面类别</w:t>
                  </w:r>
                </w:p>
              </w:tc>
              <w:tc>
                <w:tcPr>
                  <w:tcW w:w="373" w:type="pct"/>
                  <w:noWrap w:val="0"/>
                  <w:vAlign w:val="center"/>
                </w:tcPr>
                <w:p w14:paraId="32037365">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规定</w:t>
                  </w:r>
                </w:p>
                <w:p w14:paraId="0D76A065">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类别</w:t>
                  </w:r>
                </w:p>
              </w:tc>
              <w:tc>
                <w:tcPr>
                  <w:tcW w:w="432" w:type="pct"/>
                  <w:noWrap w:val="0"/>
                  <w:vAlign w:val="center"/>
                </w:tcPr>
                <w:p w14:paraId="6E4D5366">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上年度类别</w:t>
                  </w:r>
                </w:p>
              </w:tc>
              <w:tc>
                <w:tcPr>
                  <w:tcW w:w="443" w:type="pct"/>
                  <w:noWrap w:val="0"/>
                  <w:vAlign w:val="center"/>
                </w:tcPr>
                <w:p w14:paraId="630D3C66">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本年度类别</w:t>
                  </w:r>
                </w:p>
              </w:tc>
              <w:tc>
                <w:tcPr>
                  <w:tcW w:w="747" w:type="pct"/>
                  <w:noWrap w:val="0"/>
                  <w:vAlign w:val="center"/>
                </w:tcPr>
                <w:p w14:paraId="75D6D424">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主要污染指标/超标倍数</w:t>
                  </w:r>
                </w:p>
              </w:tc>
              <w:tc>
                <w:tcPr>
                  <w:tcW w:w="695" w:type="pct"/>
                  <w:noWrap w:val="0"/>
                  <w:vAlign w:val="center"/>
                </w:tcPr>
                <w:p w14:paraId="33F9FB78">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单独评价指标/超标倍数</w:t>
                  </w:r>
                </w:p>
              </w:tc>
            </w:tr>
            <w:tr w14:paraId="15811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36F09A65">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涪江</w:t>
                  </w:r>
                </w:p>
              </w:tc>
              <w:tc>
                <w:tcPr>
                  <w:tcW w:w="574" w:type="pct"/>
                  <w:noWrap w:val="0"/>
                  <w:vAlign w:val="center"/>
                </w:tcPr>
                <w:p w14:paraId="6065413F">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红江渡口</w:t>
                  </w:r>
                </w:p>
              </w:tc>
              <w:tc>
                <w:tcPr>
                  <w:tcW w:w="545" w:type="pct"/>
                  <w:noWrap w:val="0"/>
                  <w:vAlign w:val="center"/>
                </w:tcPr>
                <w:p w14:paraId="6D688317">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蓬溪县</w:t>
                  </w:r>
                </w:p>
              </w:tc>
              <w:tc>
                <w:tcPr>
                  <w:tcW w:w="606" w:type="pct"/>
                  <w:noWrap w:val="0"/>
                  <w:vAlign w:val="center"/>
                </w:tcPr>
                <w:p w14:paraId="54BE8388">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国控</w:t>
                  </w:r>
                </w:p>
              </w:tc>
              <w:tc>
                <w:tcPr>
                  <w:tcW w:w="373" w:type="pct"/>
                  <w:noWrap w:val="0"/>
                  <w:vAlign w:val="center"/>
                </w:tcPr>
                <w:p w14:paraId="46EC7CFD">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III</w:t>
                  </w:r>
                </w:p>
              </w:tc>
              <w:tc>
                <w:tcPr>
                  <w:tcW w:w="432" w:type="pct"/>
                  <w:noWrap w:val="0"/>
                  <w:vAlign w:val="center"/>
                </w:tcPr>
                <w:p w14:paraId="45D579E6">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w:t>
                  </w:r>
                </w:p>
              </w:tc>
              <w:tc>
                <w:tcPr>
                  <w:tcW w:w="443" w:type="pct"/>
                  <w:noWrap w:val="0"/>
                  <w:vAlign w:val="center"/>
                </w:tcPr>
                <w:p w14:paraId="44B39B61">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w:t>
                  </w:r>
                </w:p>
              </w:tc>
              <w:tc>
                <w:tcPr>
                  <w:tcW w:w="747" w:type="pct"/>
                  <w:noWrap w:val="0"/>
                  <w:vAlign w:val="center"/>
                </w:tcPr>
                <w:p w14:paraId="3D7DAF1D">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w:t>
                  </w:r>
                </w:p>
              </w:tc>
              <w:tc>
                <w:tcPr>
                  <w:tcW w:w="695" w:type="pct"/>
                  <w:noWrap w:val="0"/>
                  <w:vAlign w:val="center"/>
                </w:tcPr>
                <w:p w14:paraId="5767410E">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w:t>
                  </w:r>
                </w:p>
              </w:tc>
            </w:tr>
            <w:tr w14:paraId="45C75F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2C78EBE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涪江</w:t>
                  </w:r>
                </w:p>
              </w:tc>
              <w:tc>
                <w:tcPr>
                  <w:tcW w:w="574" w:type="pct"/>
                  <w:noWrap w:val="0"/>
                  <w:vAlign w:val="center"/>
                </w:tcPr>
                <w:p w14:paraId="1E200B1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玉溪</w:t>
                  </w:r>
                </w:p>
              </w:tc>
              <w:tc>
                <w:tcPr>
                  <w:tcW w:w="545" w:type="pct"/>
                  <w:noWrap w:val="0"/>
                  <w:vAlign w:val="center"/>
                </w:tcPr>
                <w:p w14:paraId="6C4AD5B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重庆潼南</w:t>
                  </w:r>
                </w:p>
              </w:tc>
              <w:tc>
                <w:tcPr>
                  <w:tcW w:w="606" w:type="pct"/>
                  <w:noWrap w:val="0"/>
                  <w:vAlign w:val="center"/>
                </w:tcPr>
                <w:p w14:paraId="59DCA9F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0BC10B1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19733D7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443" w:type="pct"/>
                  <w:noWrap w:val="0"/>
                  <w:vAlign w:val="center"/>
                </w:tcPr>
                <w:p w14:paraId="50D51E6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747" w:type="pct"/>
                  <w:noWrap w:val="0"/>
                  <w:vAlign w:val="center"/>
                </w:tcPr>
                <w:p w14:paraId="071D36D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7CF15AE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5B1D52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33DC95A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琼江</w:t>
                  </w:r>
                </w:p>
              </w:tc>
              <w:tc>
                <w:tcPr>
                  <w:tcW w:w="574" w:type="pct"/>
                  <w:noWrap w:val="0"/>
                  <w:vAlign w:val="center"/>
                </w:tcPr>
                <w:p w14:paraId="1255F56E">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跑马滩</w:t>
                  </w:r>
                </w:p>
              </w:tc>
              <w:tc>
                <w:tcPr>
                  <w:tcW w:w="545" w:type="pct"/>
                  <w:noWrap w:val="0"/>
                  <w:vAlign w:val="center"/>
                </w:tcPr>
                <w:p w14:paraId="360BB4E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安居区</w:t>
                  </w:r>
                </w:p>
              </w:tc>
              <w:tc>
                <w:tcPr>
                  <w:tcW w:w="606" w:type="pct"/>
                  <w:noWrap w:val="0"/>
                  <w:vAlign w:val="center"/>
                </w:tcPr>
                <w:p w14:paraId="10D9554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700D1E4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6AD7E67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43" w:type="pct"/>
                  <w:noWrap w:val="0"/>
                  <w:vAlign w:val="center"/>
                </w:tcPr>
                <w:p w14:paraId="5EBDEBF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747" w:type="pct"/>
                  <w:noWrap w:val="0"/>
                  <w:vAlign w:val="center"/>
                </w:tcPr>
                <w:p w14:paraId="423251C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73D04A3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42C873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18F9D45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郪江</w:t>
                  </w:r>
                </w:p>
              </w:tc>
              <w:tc>
                <w:tcPr>
                  <w:tcW w:w="574" w:type="pct"/>
                  <w:noWrap w:val="0"/>
                  <w:vAlign w:val="center"/>
                </w:tcPr>
                <w:p w14:paraId="22188C6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郪江口</w:t>
                  </w:r>
                </w:p>
              </w:tc>
              <w:tc>
                <w:tcPr>
                  <w:tcW w:w="545" w:type="pct"/>
                  <w:noWrap w:val="0"/>
                  <w:vAlign w:val="center"/>
                </w:tcPr>
                <w:p w14:paraId="2047488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大英县</w:t>
                  </w:r>
                </w:p>
              </w:tc>
              <w:tc>
                <w:tcPr>
                  <w:tcW w:w="606" w:type="pct"/>
                  <w:noWrap w:val="0"/>
                  <w:vAlign w:val="center"/>
                </w:tcPr>
                <w:p w14:paraId="799FDE8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232C7A0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5729830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43" w:type="pct"/>
                  <w:noWrap w:val="0"/>
                  <w:vAlign w:val="center"/>
                </w:tcPr>
                <w:p w14:paraId="729F7F5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747" w:type="pct"/>
                  <w:noWrap w:val="0"/>
                  <w:vAlign w:val="center"/>
                </w:tcPr>
                <w:p w14:paraId="053F3DB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294B3F0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02808C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147EE99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琼江</w:t>
                  </w:r>
                </w:p>
              </w:tc>
              <w:tc>
                <w:tcPr>
                  <w:tcW w:w="574" w:type="pct"/>
                  <w:noWrap w:val="0"/>
                  <w:vAlign w:val="center"/>
                </w:tcPr>
                <w:p w14:paraId="75F7C52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大安</w:t>
                  </w:r>
                </w:p>
              </w:tc>
              <w:tc>
                <w:tcPr>
                  <w:tcW w:w="545" w:type="pct"/>
                  <w:noWrap w:val="0"/>
                  <w:vAlign w:val="center"/>
                </w:tcPr>
                <w:p w14:paraId="0F29C6A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安居区</w:t>
                  </w:r>
                </w:p>
              </w:tc>
              <w:tc>
                <w:tcPr>
                  <w:tcW w:w="606" w:type="pct"/>
                  <w:noWrap w:val="0"/>
                  <w:vAlign w:val="center"/>
                </w:tcPr>
                <w:p w14:paraId="62794B6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66E1D26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6AE2A19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43" w:type="pct"/>
                  <w:noWrap w:val="0"/>
                  <w:vAlign w:val="center"/>
                </w:tcPr>
                <w:p w14:paraId="212BBC2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747" w:type="pct"/>
                  <w:noWrap w:val="0"/>
                  <w:vAlign w:val="center"/>
                </w:tcPr>
                <w:p w14:paraId="3945E82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1CE5529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5A4D4B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42D3FE4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梓江</w:t>
                  </w:r>
                </w:p>
              </w:tc>
              <w:tc>
                <w:tcPr>
                  <w:tcW w:w="574" w:type="pct"/>
                  <w:noWrap w:val="0"/>
                  <w:vAlign w:val="center"/>
                </w:tcPr>
                <w:p w14:paraId="2CFF0ED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梓江大桥</w:t>
                  </w:r>
                </w:p>
              </w:tc>
              <w:tc>
                <w:tcPr>
                  <w:tcW w:w="545" w:type="pct"/>
                  <w:noWrap w:val="0"/>
                  <w:vAlign w:val="center"/>
                </w:tcPr>
                <w:p w14:paraId="263B17F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射洪市</w:t>
                  </w:r>
                </w:p>
              </w:tc>
              <w:tc>
                <w:tcPr>
                  <w:tcW w:w="606" w:type="pct"/>
                  <w:noWrap w:val="0"/>
                  <w:vAlign w:val="center"/>
                </w:tcPr>
                <w:p w14:paraId="47015EB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518C90EE">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5F5C576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443" w:type="pct"/>
                  <w:noWrap w:val="0"/>
                  <w:vAlign w:val="center"/>
                </w:tcPr>
                <w:p w14:paraId="7427838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747" w:type="pct"/>
                  <w:noWrap w:val="0"/>
                  <w:vAlign w:val="center"/>
                </w:tcPr>
                <w:p w14:paraId="0973D07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312C825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18F22C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218F26C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西眉河</w:t>
                  </w:r>
                </w:p>
              </w:tc>
              <w:tc>
                <w:tcPr>
                  <w:tcW w:w="574" w:type="pct"/>
                  <w:noWrap w:val="0"/>
                  <w:vAlign w:val="center"/>
                </w:tcPr>
                <w:p w14:paraId="440B825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白鹤桥</w:t>
                  </w:r>
                </w:p>
              </w:tc>
              <w:tc>
                <w:tcPr>
                  <w:tcW w:w="545" w:type="pct"/>
                  <w:noWrap w:val="0"/>
                  <w:vAlign w:val="center"/>
                </w:tcPr>
                <w:p w14:paraId="22DD70F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安居区</w:t>
                  </w:r>
                </w:p>
              </w:tc>
              <w:tc>
                <w:tcPr>
                  <w:tcW w:w="606" w:type="pct"/>
                  <w:noWrap w:val="0"/>
                  <w:vAlign w:val="center"/>
                </w:tcPr>
                <w:p w14:paraId="74F3DCC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省控（</w:t>
                  </w:r>
                  <w:r>
                    <w:rPr>
                      <w:rFonts w:hint="default" w:ascii="Times New Roman" w:hAnsi="Times New Roman" w:eastAsia="宋体" w:cs="Times New Roman"/>
                      <w:color w:val="000000" w:themeColor="text1"/>
                      <w:kern w:val="0"/>
                      <w:szCs w:val="21"/>
                      <w:highlight w:val="none"/>
                      <w14:textFill>
                        <w14:solidFill>
                          <w14:schemeClr w14:val="tx1"/>
                        </w14:solidFill>
                      </w14:textFill>
                    </w:rPr>
                    <w:t>长江经济带</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w:t>
                  </w:r>
                </w:p>
              </w:tc>
              <w:tc>
                <w:tcPr>
                  <w:tcW w:w="373" w:type="pct"/>
                  <w:noWrap w:val="0"/>
                  <w:vAlign w:val="center"/>
                </w:tcPr>
                <w:p w14:paraId="55DA0B9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0EE77F27">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Ⅳ</w:t>
                  </w:r>
                </w:p>
              </w:tc>
              <w:tc>
                <w:tcPr>
                  <w:tcW w:w="443" w:type="pct"/>
                  <w:noWrap w:val="0"/>
                  <w:vAlign w:val="center"/>
                </w:tcPr>
                <w:p w14:paraId="3FF4AE6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Ⅳ</w:t>
                  </w:r>
                </w:p>
              </w:tc>
              <w:tc>
                <w:tcPr>
                  <w:tcW w:w="747" w:type="pct"/>
                  <w:noWrap w:val="0"/>
                  <w:vAlign w:val="center"/>
                </w:tcPr>
                <w:p w14:paraId="1AB0A56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w:t>
                  </w:r>
                </w:p>
              </w:tc>
              <w:tc>
                <w:tcPr>
                  <w:tcW w:w="695" w:type="pct"/>
                  <w:noWrap w:val="0"/>
                  <w:vAlign w:val="center"/>
                </w:tcPr>
                <w:p w14:paraId="2456958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r>
            <w:tr w14:paraId="6E596B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0C798353">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eastAsia="zh-CN"/>
                      <w14:textFill>
                        <w14:solidFill>
                          <w14:schemeClr w14:val="tx1"/>
                        </w14:solidFill>
                      </w14:textFill>
                    </w:rPr>
                    <w:t>芝溪河</w:t>
                  </w:r>
                </w:p>
              </w:tc>
              <w:tc>
                <w:tcPr>
                  <w:tcW w:w="574" w:type="pct"/>
                  <w:noWrap w:val="0"/>
                  <w:vAlign w:val="center"/>
                </w:tcPr>
                <w:p w14:paraId="5D76835D">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涪山坝</w:t>
                  </w:r>
                </w:p>
              </w:tc>
              <w:tc>
                <w:tcPr>
                  <w:tcW w:w="545" w:type="pct"/>
                  <w:noWrap w:val="0"/>
                  <w:vAlign w:val="center"/>
                </w:tcPr>
                <w:p w14:paraId="0B5F50FC">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蓬溪县</w:t>
                  </w:r>
                </w:p>
              </w:tc>
              <w:tc>
                <w:tcPr>
                  <w:tcW w:w="606" w:type="pct"/>
                  <w:noWrap w:val="0"/>
                  <w:vAlign w:val="center"/>
                </w:tcPr>
                <w:p w14:paraId="20483F58">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eastAsia="zh-CN"/>
                      <w14:textFill>
                        <w14:solidFill>
                          <w14:schemeClr w14:val="tx1"/>
                        </w14:solidFill>
                      </w14:textFill>
                    </w:rPr>
                    <w:t>省控（</w:t>
                  </w:r>
                  <w:r>
                    <w:rPr>
                      <w:rFonts w:hint="default" w:ascii="Times New Roman" w:hAnsi="Times New Roman" w:eastAsia="宋体" w:cs="Times New Roman"/>
                      <w:b/>
                      <w:bCs/>
                      <w:color w:val="000000" w:themeColor="text1"/>
                      <w:kern w:val="0"/>
                      <w:szCs w:val="21"/>
                      <w:highlight w:val="none"/>
                      <w14:textFill>
                        <w14:solidFill>
                          <w14:schemeClr w14:val="tx1"/>
                        </w14:solidFill>
                      </w14:textFill>
                    </w:rPr>
                    <w:t>长江经济带</w:t>
                  </w:r>
                  <w:r>
                    <w:rPr>
                      <w:rFonts w:hint="default" w:ascii="Times New Roman" w:hAnsi="Times New Roman" w:eastAsia="宋体" w:cs="Times New Roman"/>
                      <w:b/>
                      <w:bCs/>
                      <w:color w:val="000000" w:themeColor="text1"/>
                      <w:kern w:val="0"/>
                      <w:szCs w:val="21"/>
                      <w:highlight w:val="none"/>
                      <w:lang w:eastAsia="zh-CN"/>
                      <w14:textFill>
                        <w14:solidFill>
                          <w14:schemeClr w14:val="tx1"/>
                        </w14:solidFill>
                      </w14:textFill>
                    </w:rPr>
                    <w:t>）</w:t>
                  </w:r>
                </w:p>
              </w:tc>
              <w:tc>
                <w:tcPr>
                  <w:tcW w:w="373" w:type="pct"/>
                  <w:noWrap w:val="0"/>
                  <w:vAlign w:val="center"/>
                </w:tcPr>
                <w:p w14:paraId="43FCB8C4">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III</w:t>
                  </w:r>
                </w:p>
              </w:tc>
              <w:tc>
                <w:tcPr>
                  <w:tcW w:w="432" w:type="pct"/>
                  <w:noWrap w:val="0"/>
                  <w:vAlign w:val="center"/>
                </w:tcPr>
                <w:p w14:paraId="436FCF2C">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Ⅴ</w:t>
                  </w:r>
                </w:p>
              </w:tc>
              <w:tc>
                <w:tcPr>
                  <w:tcW w:w="443" w:type="pct"/>
                  <w:noWrap w:val="0"/>
                  <w:vAlign w:val="center"/>
                </w:tcPr>
                <w:p w14:paraId="0ABE4D46">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Ⅳ</w:t>
                  </w:r>
                </w:p>
              </w:tc>
              <w:tc>
                <w:tcPr>
                  <w:tcW w:w="747" w:type="pct"/>
                  <w:noWrap w:val="0"/>
                  <w:vAlign w:val="center"/>
                </w:tcPr>
                <w:p w14:paraId="1D2633F3">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val="en-US" w:eastAsia="zh-CN"/>
                      <w14:textFill>
                        <w14:solidFill>
                          <w14:schemeClr w14:val="tx1"/>
                        </w14:solidFill>
                      </w14:textFill>
                    </w:rPr>
                    <w:t>/</w:t>
                  </w:r>
                </w:p>
              </w:tc>
              <w:tc>
                <w:tcPr>
                  <w:tcW w:w="695" w:type="pct"/>
                  <w:noWrap w:val="0"/>
                  <w:vAlign w:val="center"/>
                </w:tcPr>
                <w:p w14:paraId="2966F416">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val="en-US" w:eastAsia="zh-CN"/>
                      <w14:textFill>
                        <w14:solidFill>
                          <w14:schemeClr w14:val="tx1"/>
                        </w14:solidFill>
                      </w14:textFill>
                    </w:rPr>
                    <w:t>/</w:t>
                  </w:r>
                </w:p>
              </w:tc>
            </w:tr>
            <w:tr w14:paraId="612022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05AD4FC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涪江</w:t>
                  </w:r>
                </w:p>
              </w:tc>
              <w:tc>
                <w:tcPr>
                  <w:tcW w:w="574" w:type="pct"/>
                  <w:noWrap w:val="0"/>
                  <w:vAlign w:val="center"/>
                </w:tcPr>
                <w:p w14:paraId="754A28D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米家桥</w:t>
                  </w:r>
                </w:p>
              </w:tc>
              <w:tc>
                <w:tcPr>
                  <w:tcW w:w="545" w:type="pct"/>
                  <w:noWrap w:val="0"/>
                  <w:vAlign w:val="center"/>
                </w:tcPr>
                <w:p w14:paraId="46A046D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船山区</w:t>
                  </w:r>
                </w:p>
              </w:tc>
              <w:tc>
                <w:tcPr>
                  <w:tcW w:w="606" w:type="pct"/>
                  <w:noWrap w:val="0"/>
                  <w:vAlign w:val="center"/>
                </w:tcPr>
                <w:p w14:paraId="1689B2B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省控</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（趋势科研）</w:t>
                  </w:r>
                </w:p>
              </w:tc>
              <w:tc>
                <w:tcPr>
                  <w:tcW w:w="373" w:type="pct"/>
                  <w:noWrap w:val="0"/>
                  <w:vAlign w:val="center"/>
                </w:tcPr>
                <w:p w14:paraId="0F2137D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33CA90E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443" w:type="pct"/>
                  <w:noWrap w:val="0"/>
                  <w:vAlign w:val="center"/>
                </w:tcPr>
                <w:p w14:paraId="071C40B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747" w:type="pct"/>
                  <w:noWrap w:val="0"/>
                  <w:vAlign w:val="center"/>
                </w:tcPr>
                <w:p w14:paraId="63DFD7B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6BA2C29A">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251EF2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0" w:type="pct"/>
                  <w:gridSpan w:val="9"/>
                  <w:noWrap w:val="0"/>
                  <w:vAlign w:val="center"/>
                </w:tcPr>
                <w:p w14:paraId="63F75BE7">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注：1.地表水环境评价执行《地表水环境质量标准》（GB3838-2002）和《地表水环境质量评价办法（试行）》（环办〔2011〕22号）。</w:t>
                  </w:r>
                </w:p>
                <w:p w14:paraId="28239C55">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2.21项评价指标为：pH、溶解氧、高锰酸盐指数、五日生化需氧量、氨氮、石油类、酚、汞、铅、镉、阴离子表面活性剂、铬（六价）、氟化物、总磷、氰化物、硫化物、砷、化学需氧量、铜、锌、硒。</w:t>
                  </w:r>
                </w:p>
                <w:p w14:paraId="15D1B976">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3.超过Ⅲ类水质标准的指标为断面污染指标，取超标倍数最大的前三项为主要污染指标。</w:t>
                  </w:r>
                </w:p>
                <w:p w14:paraId="6AE0EBCC">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4.红江渡口、玉溪、跑马滩、大安、郪江口和梓江大桥6个国控断面采用国家反馈的采测分离数据（含部分市级监测数据）进行评价。</w:t>
                  </w:r>
                </w:p>
              </w:tc>
            </w:tr>
          </w:tbl>
          <w:p w14:paraId="5B149307">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项目位于蓬溪县，根据《</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2021年遂宁市环境质量公告</w:t>
            </w:r>
            <w:r>
              <w:rPr>
                <w:rFonts w:hint="default" w:ascii="Times New Roman" w:hAnsi="Times New Roman" w:eastAsia="宋体" w:cs="Times New Roman"/>
                <w:bCs/>
                <w:color w:val="000000" w:themeColor="text1"/>
                <w:sz w:val="24"/>
                <w:szCs w:val="24"/>
                <w:highlight w:val="none"/>
                <w14:textFill>
                  <w14:solidFill>
                    <w14:schemeClr w14:val="tx1"/>
                  </w14:solidFill>
                </w14:textFill>
              </w:rPr>
              <w:t>》遂宁市河流水质评价结果表可以看出，蓬溪县涪江红江渡口监测断面水质为II类，</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芝溪河</w:t>
            </w:r>
            <w:r>
              <w:rPr>
                <w:rFonts w:hint="default" w:ascii="Times New Roman" w:hAnsi="Times New Roman" w:eastAsia="宋体" w:cs="Times New Roman"/>
                <w:bCs/>
                <w:color w:val="000000" w:themeColor="text1"/>
                <w:sz w:val="24"/>
                <w:szCs w:val="24"/>
                <w:highlight w:val="none"/>
                <w14:textFill>
                  <w14:solidFill>
                    <w14:schemeClr w14:val="tx1"/>
                  </w14:solidFill>
                </w14:textFill>
              </w:rPr>
              <w:t>涪山坝监测断面水质为</w:t>
            </w:r>
            <w:r>
              <w:rPr>
                <w:rFonts w:hint="default" w:ascii="Times New Roman" w:hAnsi="Times New Roman" w:eastAsia="宋体" w:cs="Times New Roman"/>
                <w:color w:val="000000" w:themeColor="text1"/>
                <w:kern w:val="0"/>
                <w:szCs w:val="21"/>
                <w:highlight w:val="none"/>
                <w14:textFill>
                  <w14:solidFill>
                    <w14:schemeClr w14:val="tx1"/>
                  </w14:solidFill>
                </w14:textFill>
              </w:rPr>
              <w:t>Ⅳ</w:t>
            </w:r>
            <w:r>
              <w:rPr>
                <w:rFonts w:hint="default" w:ascii="Times New Roman" w:hAnsi="Times New Roman" w:eastAsia="宋体" w:cs="Times New Roman"/>
                <w:bCs/>
                <w:color w:val="000000" w:themeColor="text1"/>
                <w:sz w:val="24"/>
                <w:szCs w:val="24"/>
                <w:highlight w:val="none"/>
                <w14:textFill>
                  <w14:solidFill>
                    <w14:schemeClr w14:val="tx1"/>
                  </w14:solidFill>
                </w14:textFill>
              </w:rPr>
              <w:t>类，2021年度区域地表水</w:t>
            </w:r>
            <w:r>
              <w:rPr>
                <w:rFonts w:hint="default" w:ascii="Times New Roman" w:hAnsi="Times New Roman" w:eastAsia="宋体" w:cs="Times New Roman"/>
                <w:b/>
                <w:bCs w:val="0"/>
                <w:color w:val="000000" w:themeColor="text1"/>
                <w:sz w:val="24"/>
                <w:szCs w:val="24"/>
                <w:highlight w:val="none"/>
                <w:u w:val="single"/>
                <w14:textFill>
                  <w14:solidFill>
                    <w14:schemeClr w14:val="tx1"/>
                  </w14:solidFill>
                </w14:textFill>
              </w:rPr>
              <w:t>不能满足</w:t>
            </w:r>
            <w:r>
              <w:rPr>
                <w:rFonts w:hint="default" w:ascii="Times New Roman" w:hAnsi="Times New Roman" w:eastAsia="宋体" w:cs="Times New Roman"/>
                <w:bCs/>
                <w:color w:val="000000" w:themeColor="text1"/>
                <w:sz w:val="24"/>
                <w:szCs w:val="24"/>
                <w:highlight w:val="none"/>
                <w14:textFill>
                  <w14:solidFill>
                    <w14:schemeClr w14:val="tx1"/>
                  </w14:solidFill>
                </w14:textFill>
              </w:rPr>
              <w:t>《地表水环境质量标准》(GB3838-2002)III类水域标准。故项目所在区域地表水环境质量较差。</w:t>
            </w:r>
          </w:p>
          <w:p w14:paraId="7DADB6E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val="0"/>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
                <w:bCs w:val="0"/>
                <w:color w:val="000000" w:themeColor="text1"/>
                <w:sz w:val="24"/>
                <w:szCs w:val="24"/>
                <w:highlight w:val="none"/>
                <w:lang w:eastAsia="zh-CN"/>
                <w14:textFill>
                  <w14:solidFill>
                    <w14:schemeClr w14:val="tx1"/>
                  </w14:solidFill>
                </w14:textFill>
              </w:rPr>
              <w:t>达标规划：</w:t>
            </w:r>
          </w:p>
          <w:p w14:paraId="05BDA68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根据遂宁市人民政府关于印发《涪江流域(遂宁段)水环境治理工作方案(试行)》的通知（遂府函〔2017〕155号），遂宁市将通过以下措施加强流域综合整治：</w:t>
            </w:r>
          </w:p>
          <w:p w14:paraId="4A89832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（1）加快实施郪江（大英段）、琼江（安居段）等重点流域水体达标方案和沈水河流域水污染综合治理实施方案。</w:t>
            </w:r>
          </w:p>
          <w:p w14:paraId="556699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（2）加快编制龙洞河、芝溪河、沈水河等重点流域环境保护专项规划，加快推进涪江流域污染综合治理工程。</w:t>
            </w:r>
          </w:p>
          <w:p w14:paraId="14FB9A8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（3）加大黑臭水体治理，全面完成明月河、米家河、联盟河和开善河4条市城区小河流及各县（区）黑臭水体整治。</w:t>
            </w:r>
          </w:p>
          <w:p w14:paraId="7432D3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（4）持续推进城乡污水垃圾处理，强化畜禽养殖污染治理。</w:t>
            </w:r>
          </w:p>
          <w:p w14:paraId="6FD4483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（5）加强水产养殖污染治理，加强农业面源污染治理，加强饮用水源保护，狠抓工业企业污染防治，加强入河排污口整治。</w:t>
            </w:r>
          </w:p>
          <w:p w14:paraId="4B6D1E2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（6）2018年底前，完成规模以下主要入河排污口标志牌建设，基本实现规模以上入河排污口监测的全覆盖，逐步提高规模以下入河排污口监测比例。</w:t>
            </w:r>
          </w:p>
          <w:p w14:paraId="58CBA2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（7）严格执行饮用水水源保护制度，提升环境监管能力，加大环境审批监管，全面排查涪江流域重点污染企业、重要入河排污口和畜禽养殖点，加强流域管理保护联合执法。</w:t>
            </w:r>
          </w:p>
          <w:p w14:paraId="67CF4DB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涪江流域(遂宁段)质量达标规划如下：</w:t>
            </w:r>
          </w:p>
          <w:p w14:paraId="156A76E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2030年：涪江流域水环境质量总体改善，水生态系统功能初步恢复；到本世纪中叶，涪江流域水生态环境质量全面改善，生态系统实现良性循环。</w:t>
            </w:r>
          </w:p>
          <w:p w14:paraId="38AB27AF">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color w:val="000000" w:themeColor="text1"/>
                <w:sz w:val="24"/>
                <w:szCs w:val="21"/>
                <w:highlight w:val="none"/>
                <w14:textFill>
                  <w14:solidFill>
                    <w14:schemeClr w14:val="tx1"/>
                  </w14:solidFill>
                </w14:textFill>
              </w:rPr>
            </w:pPr>
            <w:r>
              <w:rPr>
                <w:rFonts w:hint="eastAsia" w:ascii="Times New Roman" w:hAnsi="Times New Roman" w:eastAsia="宋体"/>
                <w:b/>
                <w:color w:val="000000" w:themeColor="text1"/>
                <w:sz w:val="24"/>
                <w:szCs w:val="21"/>
                <w:highlight w:val="none"/>
                <w14:textFill>
                  <w14:solidFill>
                    <w14:schemeClr w14:val="tx1"/>
                  </w14:solidFill>
                </w14:textFill>
              </w:rPr>
              <w:t>三</w:t>
            </w:r>
            <w:r>
              <w:rPr>
                <w:rFonts w:ascii="Times New Roman" w:hAnsi="Times New Roman" w:eastAsia="宋体"/>
                <w:b/>
                <w:color w:val="000000" w:themeColor="text1"/>
                <w:sz w:val="24"/>
                <w:szCs w:val="21"/>
                <w:highlight w:val="none"/>
                <w14:textFill>
                  <w14:solidFill>
                    <w14:schemeClr w14:val="tx1"/>
                  </w14:solidFill>
                </w14:textFill>
              </w:rPr>
              <w:t>、声环境质量现状</w:t>
            </w:r>
          </w:p>
          <w:p w14:paraId="560FE3A8">
            <w:pPr>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根据《建设项目环境影响报告表编制技术指南(污染影响类) (试行)》：3.声环境。厂界外周边50米范围内存在声环境保护目标的建设项目，应监测保护目标声环境质量现状并评价达标情况。各点位应监测昼夜间噪声，监测时间不少于1天。</w:t>
            </w:r>
            <w:r>
              <w:rPr>
                <w:rFonts w:ascii="Times New Roman" w:hAnsi="Times New Roman" w:eastAsia="宋体" w:cs="Times New Roman"/>
                <w:color w:val="000000" w:themeColor="text1"/>
                <w:sz w:val="24"/>
                <w:szCs w:val="24"/>
                <w:highlight w:val="none"/>
                <w14:textFill>
                  <w14:solidFill>
                    <w14:schemeClr w14:val="tx1"/>
                  </w14:solidFill>
                </w14:textFill>
              </w:rPr>
              <w:t>本项目厂界</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南侧、东</w:t>
            </w:r>
            <w:r>
              <w:rPr>
                <w:rFonts w:ascii="Times New Roman" w:hAnsi="Times New Roman" w:eastAsia="宋体" w:cs="Times New Roman"/>
                <w:color w:val="000000" w:themeColor="text1"/>
                <w:sz w:val="24"/>
                <w:szCs w:val="24"/>
                <w:highlight w:val="none"/>
                <w14:textFill>
                  <w14:solidFill>
                    <w14:schemeClr w14:val="tx1"/>
                  </w14:solidFill>
                </w14:textFill>
              </w:rPr>
              <w:t>北侧50m范围内存在声环境保护目标，为了解本项目所在区域声环境质量现状，建设单位委托</w:t>
            </w:r>
            <w:r>
              <w:rPr>
                <w:rFonts w:hint="eastAsia" w:ascii="Times New Roman" w:hAnsi="Times New Roman" w:eastAsia="宋体" w:cs="Times New Roman"/>
                <w:color w:val="000000" w:themeColor="text1"/>
                <w:sz w:val="24"/>
                <w:szCs w:val="24"/>
                <w:highlight w:val="none"/>
                <w14:textFill>
                  <w14:solidFill>
                    <w14:schemeClr w14:val="tx1"/>
                  </w14:solidFill>
                </w14:textFill>
              </w:rPr>
              <w:t>四川锡水金山环保科技有限公司</w:t>
            </w:r>
            <w:r>
              <w:rPr>
                <w:rFonts w:ascii="Times New Roman" w:hAnsi="Times New Roman" w:eastAsia="宋体" w:cs="Times New Roman"/>
                <w:color w:val="000000" w:themeColor="text1"/>
                <w:sz w:val="24"/>
                <w:szCs w:val="24"/>
                <w:highlight w:val="none"/>
                <w14:textFill>
                  <w14:solidFill>
                    <w14:schemeClr w14:val="tx1"/>
                  </w14:solidFill>
                </w14:textFill>
              </w:rPr>
              <w:t>于202</w:t>
            </w:r>
            <w:r>
              <w:rPr>
                <w:rFonts w:hint="eastAsia" w:ascii="Times New Roman" w:hAnsi="Times New Roman" w:eastAsia="宋体" w:cs="Times New Roman"/>
                <w:color w:val="000000" w:themeColor="text1"/>
                <w:sz w:val="24"/>
                <w:szCs w:val="24"/>
                <w:highlight w:val="none"/>
                <w14:textFill>
                  <w14:solidFill>
                    <w14:schemeClr w14:val="tx1"/>
                  </w14:solidFill>
                </w14:textFill>
              </w:rPr>
              <w:t>2</w:t>
            </w:r>
            <w:r>
              <w:rPr>
                <w:rFonts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ascii="Times New Roman" w:hAnsi="Times New Roman" w:eastAsia="宋体" w:cs="Times New Roman"/>
                <w:color w:val="000000" w:themeColor="text1"/>
                <w:sz w:val="24"/>
                <w:szCs w:val="24"/>
                <w:highlight w:val="none"/>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ascii="Times New Roman" w:hAnsi="Times New Roman" w:eastAsia="宋体" w:cs="Times New Roman"/>
                <w:color w:val="000000" w:themeColor="text1"/>
                <w:sz w:val="24"/>
                <w:szCs w:val="24"/>
                <w:highlight w:val="none"/>
                <w14:textFill>
                  <w14:solidFill>
                    <w14:schemeClr w14:val="tx1"/>
                  </w14:solidFill>
                </w14:textFill>
              </w:rPr>
              <w:t>日对项目区域环境噪声进行了现状监测，具体如下：</w:t>
            </w:r>
          </w:p>
          <w:p w14:paraId="0F70E49C">
            <w:pPr>
              <w:adjustRightInd w:val="0"/>
              <w:snapToGrid w:val="0"/>
              <w:spacing w:line="360" w:lineRule="auto"/>
              <w:ind w:firstLine="482" w:firstLineChars="200"/>
              <w:jc w:val="left"/>
              <w:rPr>
                <w:rFonts w:ascii="Times New Roman" w:hAnsi="Times New Roman" w:eastAsia="宋体" w:cs="Times New Roman"/>
                <w:b/>
                <w:color w:val="000000" w:themeColor="text1"/>
                <w:kern w:val="0"/>
                <w:sz w:val="24"/>
                <w:szCs w:val="24"/>
                <w:highlight w:val="none"/>
                <w14:textFill>
                  <w14:solidFill>
                    <w14:schemeClr w14:val="tx1"/>
                  </w14:solidFill>
                </w14:textFill>
              </w:rPr>
            </w:pPr>
            <w:r>
              <w:rPr>
                <w:rFonts w:ascii="Times New Roman" w:hAnsi="Times New Roman" w:eastAsia="宋体" w:cs="Times New Roman"/>
                <w:b/>
                <w:color w:val="000000" w:themeColor="text1"/>
                <w:kern w:val="0"/>
                <w:sz w:val="24"/>
                <w:szCs w:val="24"/>
                <w:highlight w:val="none"/>
                <w14:textFill>
                  <w14:solidFill>
                    <w14:schemeClr w14:val="tx1"/>
                  </w14:solidFill>
                </w14:textFill>
              </w:rPr>
              <w:t>（1）检测点位及频次</w:t>
            </w:r>
          </w:p>
          <w:p w14:paraId="5B05D938">
            <w:pPr>
              <w:kinsoku w:val="0"/>
              <w:overflowPunct w:val="0"/>
              <w:autoSpaceDE w:val="0"/>
              <w:autoSpaceDN w:val="0"/>
              <w:adjustRightInd w:val="0"/>
              <w:snapToGrid w:val="0"/>
              <w:ind w:firstLine="422" w:firstLineChars="200"/>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表3-</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5</w:t>
            </w:r>
            <w:r>
              <w:rPr>
                <w:rFonts w:ascii="Times New Roman" w:hAnsi="Times New Roman" w:eastAsia="宋体" w:cs="Times New Roman"/>
                <w:b/>
                <w:color w:val="000000" w:themeColor="text1"/>
                <w:szCs w:val="21"/>
                <w:highlight w:val="none"/>
                <w14:textFill>
                  <w14:solidFill>
                    <w14:schemeClr w14:val="tx1"/>
                  </w14:solidFill>
                </w14:textFill>
              </w:rPr>
              <w:t xml:space="preserve">    噪声监测布点</w:t>
            </w:r>
          </w:p>
          <w:tbl>
            <w:tblPr>
              <w:tblStyle w:val="20"/>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13"/>
              <w:gridCol w:w="2729"/>
              <w:gridCol w:w="1462"/>
              <w:gridCol w:w="1413"/>
              <w:gridCol w:w="1824"/>
            </w:tblGrid>
            <w:tr w14:paraId="14D6EE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18" w:type="dxa"/>
                  <w:vAlign w:val="center"/>
                </w:tcPr>
                <w:p w14:paraId="5B1ADB76">
                  <w:pPr>
                    <w:adjustRightInd w:val="0"/>
                    <w:snapToGrid w:val="0"/>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编号</w:t>
                  </w:r>
                </w:p>
              </w:tc>
              <w:tc>
                <w:tcPr>
                  <w:tcW w:w="2753" w:type="dxa"/>
                  <w:vAlign w:val="center"/>
                </w:tcPr>
                <w:p w14:paraId="07FC5F95">
                  <w:pPr>
                    <w:adjustRightInd w:val="0"/>
                    <w:snapToGrid w:val="0"/>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监测点位置</w:t>
                  </w:r>
                </w:p>
              </w:tc>
              <w:tc>
                <w:tcPr>
                  <w:tcW w:w="1475" w:type="dxa"/>
                  <w:vAlign w:val="center"/>
                </w:tcPr>
                <w:p w14:paraId="1B9B4DAD">
                  <w:pPr>
                    <w:adjustRightInd w:val="0"/>
                    <w:snapToGrid w:val="0"/>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监测项目</w:t>
                  </w:r>
                </w:p>
              </w:tc>
              <w:tc>
                <w:tcPr>
                  <w:tcW w:w="1425" w:type="dxa"/>
                  <w:vAlign w:val="center"/>
                </w:tcPr>
                <w:p w14:paraId="66AA09BC">
                  <w:pPr>
                    <w:adjustRightInd w:val="0"/>
                    <w:snapToGrid w:val="0"/>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监测频率</w:t>
                  </w:r>
                </w:p>
              </w:tc>
              <w:tc>
                <w:tcPr>
                  <w:tcW w:w="1840" w:type="dxa"/>
                  <w:vAlign w:val="center"/>
                </w:tcPr>
                <w:p w14:paraId="18AB3290">
                  <w:pPr>
                    <w:adjustRightInd w:val="0"/>
                    <w:snapToGrid w:val="0"/>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执行标准</w:t>
                  </w:r>
                </w:p>
              </w:tc>
            </w:tr>
            <w:tr w14:paraId="578197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18" w:type="dxa"/>
                  <w:vAlign w:val="center"/>
                </w:tcPr>
                <w:p w14:paraId="53DDE7ED">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1#</w:t>
                  </w:r>
                </w:p>
              </w:tc>
              <w:tc>
                <w:tcPr>
                  <w:tcW w:w="2753" w:type="dxa"/>
                  <w:vAlign w:val="center"/>
                </w:tcPr>
                <w:p w14:paraId="1076A678">
                  <w:pPr>
                    <w:spacing w:line="360" w:lineRule="exact"/>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南侧</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厂界外1#</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敏感点噪声</w:t>
                  </w:r>
                </w:p>
              </w:tc>
              <w:tc>
                <w:tcPr>
                  <w:tcW w:w="1475" w:type="dxa"/>
                  <w:vMerge w:val="restart"/>
                  <w:vAlign w:val="center"/>
                </w:tcPr>
                <w:p w14:paraId="54A84D60">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等效连续</w:t>
                  </w:r>
                </w:p>
                <w:p w14:paraId="1E040DC7">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A声级（Leq(A)）</w:t>
                  </w:r>
                </w:p>
              </w:tc>
              <w:tc>
                <w:tcPr>
                  <w:tcW w:w="1425" w:type="dxa"/>
                  <w:vMerge w:val="restart"/>
                  <w:vAlign w:val="center"/>
                </w:tcPr>
                <w:p w14:paraId="28D37F54">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监测1天，每天昼间、夜间各监测1次</w:t>
                  </w:r>
                </w:p>
              </w:tc>
              <w:tc>
                <w:tcPr>
                  <w:tcW w:w="1840" w:type="dxa"/>
                  <w:vMerge w:val="restart"/>
                  <w:vAlign w:val="center"/>
                </w:tcPr>
                <w:p w14:paraId="3C1CD437">
                  <w:pPr>
                    <w:adjustRightInd w:val="0"/>
                    <w:snapToGrid w:val="0"/>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t>《声环境质量标准》（GB3096-2008）</w:t>
                  </w:r>
                </w:p>
                <w:p w14:paraId="02969501">
                  <w:pPr>
                    <w:adjustRightInd w:val="0"/>
                    <w:snapToGrid w:val="0"/>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t>2类标准</w:t>
                  </w:r>
                </w:p>
              </w:tc>
            </w:tr>
            <w:tr w14:paraId="09D3C2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18" w:type="dxa"/>
                  <w:vAlign w:val="center"/>
                </w:tcPr>
                <w:p w14:paraId="0A7DF8D4">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2#</w:t>
                  </w:r>
                </w:p>
              </w:tc>
              <w:tc>
                <w:tcPr>
                  <w:tcW w:w="2753" w:type="dxa"/>
                  <w:vAlign w:val="center"/>
                </w:tcPr>
                <w:p w14:paraId="3607E953">
                  <w:pPr>
                    <w:spacing w:line="360" w:lineRule="exact"/>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南侧厂界外2#</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敏感点噪声</w:t>
                  </w:r>
                </w:p>
              </w:tc>
              <w:tc>
                <w:tcPr>
                  <w:tcW w:w="1475" w:type="dxa"/>
                  <w:vMerge w:val="continue"/>
                  <w:vAlign w:val="center"/>
                </w:tcPr>
                <w:p w14:paraId="7ED98820">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c>
                <w:tcPr>
                  <w:tcW w:w="1425" w:type="dxa"/>
                  <w:vMerge w:val="continue"/>
                  <w:vAlign w:val="center"/>
                </w:tcPr>
                <w:p w14:paraId="2C628C46">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c>
                <w:tcPr>
                  <w:tcW w:w="1840" w:type="dxa"/>
                  <w:vMerge w:val="continue"/>
                  <w:vAlign w:val="center"/>
                </w:tcPr>
                <w:p w14:paraId="39F0AE26">
                  <w:pPr>
                    <w:adjustRightInd w:val="0"/>
                    <w:snapToGrid w:val="0"/>
                    <w:jc w:val="center"/>
                    <w:rPr>
                      <w:rFonts w:ascii="Times New Roman" w:hAnsi="Times New Roman" w:eastAsia="宋体" w:cs="Times New Roman"/>
                      <w:color w:val="000000" w:themeColor="text1"/>
                      <w:szCs w:val="24"/>
                      <w:highlight w:val="none"/>
                      <w14:textFill>
                        <w14:solidFill>
                          <w14:schemeClr w14:val="tx1"/>
                        </w14:solidFill>
                      </w14:textFill>
                    </w:rPr>
                  </w:pPr>
                </w:p>
              </w:tc>
            </w:tr>
            <w:tr w14:paraId="6197A2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18" w:type="dxa"/>
                  <w:vAlign w:val="center"/>
                </w:tcPr>
                <w:p w14:paraId="05F0D999">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w:t>
                  </w:r>
                </w:p>
              </w:tc>
              <w:tc>
                <w:tcPr>
                  <w:tcW w:w="2753" w:type="dxa"/>
                  <w:vAlign w:val="center"/>
                </w:tcPr>
                <w:p w14:paraId="16899647">
                  <w:pPr>
                    <w:spacing w:line="360" w:lineRule="exact"/>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东北侧厂界外</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敏感点噪声</w:t>
                  </w:r>
                </w:p>
              </w:tc>
              <w:tc>
                <w:tcPr>
                  <w:tcW w:w="1475" w:type="dxa"/>
                  <w:vMerge w:val="continue"/>
                  <w:vAlign w:val="center"/>
                </w:tcPr>
                <w:p w14:paraId="44B31242">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c>
                <w:tcPr>
                  <w:tcW w:w="1425" w:type="dxa"/>
                  <w:vMerge w:val="continue"/>
                  <w:vAlign w:val="center"/>
                </w:tcPr>
                <w:p w14:paraId="728726C2">
                  <w:pPr>
                    <w:adjustRightInd w:val="0"/>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c>
                <w:tcPr>
                  <w:tcW w:w="1840" w:type="dxa"/>
                  <w:vMerge w:val="continue"/>
                  <w:vAlign w:val="center"/>
                </w:tcPr>
                <w:p w14:paraId="471EB594">
                  <w:pPr>
                    <w:adjustRightInd w:val="0"/>
                    <w:snapToGrid w:val="0"/>
                    <w:jc w:val="center"/>
                    <w:rPr>
                      <w:rFonts w:ascii="Times New Roman" w:hAnsi="Times New Roman" w:eastAsia="宋体" w:cs="Times New Roman"/>
                      <w:color w:val="000000" w:themeColor="text1"/>
                      <w:szCs w:val="24"/>
                      <w:highlight w:val="none"/>
                      <w14:textFill>
                        <w14:solidFill>
                          <w14:schemeClr w14:val="tx1"/>
                        </w14:solidFill>
                      </w14:textFill>
                    </w:rPr>
                  </w:pPr>
                </w:p>
              </w:tc>
            </w:tr>
          </w:tbl>
          <w:p w14:paraId="3A1EC4C2">
            <w:pPr>
              <w:spacing w:before="120" w:beforeLines="50" w:line="360" w:lineRule="auto"/>
              <w:ind w:firstLine="482" w:firstLineChars="200"/>
              <w:rPr>
                <w:rFonts w:ascii="Times New Roman" w:hAnsi="Times New Roman" w:eastAsia="宋体" w:cs="Times New Roman"/>
                <w:b/>
                <w:color w:val="000000" w:themeColor="text1"/>
                <w:sz w:val="24"/>
                <w:szCs w:val="32"/>
                <w:highlight w:val="none"/>
                <w14:textFill>
                  <w14:solidFill>
                    <w14:schemeClr w14:val="tx1"/>
                  </w14:solidFill>
                </w14:textFill>
              </w:rPr>
            </w:pPr>
            <w:r>
              <w:rPr>
                <w:rFonts w:ascii="Times New Roman" w:hAnsi="Times New Roman" w:eastAsia="宋体" w:cs="Times New Roman"/>
                <w:b/>
                <w:color w:val="000000" w:themeColor="text1"/>
                <w:sz w:val="24"/>
                <w:szCs w:val="32"/>
                <w:highlight w:val="none"/>
                <w14:textFill>
                  <w14:solidFill>
                    <w14:schemeClr w14:val="tx1"/>
                  </w14:solidFill>
                </w14:textFill>
              </w:rPr>
              <w:t>（2）噪声检测结果与评价</w:t>
            </w:r>
          </w:p>
          <w:p w14:paraId="3DB565DD">
            <w:pPr>
              <w:jc w:val="center"/>
              <w:rPr>
                <w:rFonts w:ascii="Times New Roman" w:hAnsi="Times New Roman" w:eastAsia="宋体" w:cs="Times New Roman"/>
                <w:b/>
                <w:color w:val="000000" w:themeColor="text1"/>
                <w:szCs w:val="26"/>
                <w:highlight w:val="none"/>
                <w14:textFill>
                  <w14:solidFill>
                    <w14:schemeClr w14:val="tx1"/>
                  </w14:solidFill>
                </w14:textFill>
              </w:rPr>
            </w:pPr>
            <w:r>
              <w:rPr>
                <w:rFonts w:ascii="Times New Roman" w:hAnsi="Times New Roman" w:eastAsia="宋体" w:cs="Times New Roman"/>
                <w:b/>
                <w:color w:val="000000" w:themeColor="text1"/>
                <w:szCs w:val="26"/>
                <w:highlight w:val="none"/>
                <w14:textFill>
                  <w14:solidFill>
                    <w14:schemeClr w14:val="tx1"/>
                  </w14:solidFill>
                </w14:textFill>
              </w:rPr>
              <w:t>表3-</w:t>
            </w:r>
            <w:r>
              <w:rPr>
                <w:rFonts w:hint="eastAsia" w:ascii="Times New Roman" w:hAnsi="Times New Roman" w:eastAsia="宋体" w:cs="Times New Roman"/>
                <w:b/>
                <w:color w:val="000000" w:themeColor="text1"/>
                <w:szCs w:val="26"/>
                <w:highlight w:val="none"/>
                <w:lang w:val="en-US" w:eastAsia="zh-CN"/>
                <w14:textFill>
                  <w14:solidFill>
                    <w14:schemeClr w14:val="tx1"/>
                  </w14:solidFill>
                </w14:textFill>
              </w:rPr>
              <w:t>6</w:t>
            </w:r>
            <w:r>
              <w:rPr>
                <w:rFonts w:ascii="Times New Roman" w:hAnsi="Times New Roman" w:eastAsia="宋体" w:cs="Times New Roman"/>
                <w:b/>
                <w:color w:val="000000" w:themeColor="text1"/>
                <w:szCs w:val="26"/>
                <w:highlight w:val="none"/>
                <w14:textFill>
                  <w14:solidFill>
                    <w14:schemeClr w14:val="tx1"/>
                  </w14:solidFill>
                </w14:textFill>
              </w:rPr>
              <w:t xml:space="preserve">    噪声检测与评价结果表    单位：dB（A）</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05"/>
              <w:gridCol w:w="2694"/>
              <w:gridCol w:w="716"/>
              <w:gridCol w:w="716"/>
              <w:gridCol w:w="2410"/>
              <w:gridCol w:w="901"/>
            </w:tblGrid>
            <w:tr w14:paraId="7C470C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dxa"/>
                  <w:vMerge w:val="restart"/>
                  <w:vAlign w:val="center"/>
                </w:tcPr>
                <w:p w14:paraId="3598250B">
                  <w:pPr>
                    <w:jc w:val="center"/>
                    <w:rPr>
                      <w:rFonts w:ascii="Times New Roman" w:hAnsi="Times New Roman" w:eastAsia="宋体" w:cs="Times New Roman"/>
                      <w:b/>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4"/>
                      <w:highlight w:val="none"/>
                      <w14:textFill>
                        <w14:solidFill>
                          <w14:schemeClr w14:val="tx1"/>
                        </w14:solidFill>
                      </w14:textFill>
                    </w:rPr>
                    <w:t>编号</w:t>
                  </w:r>
                </w:p>
              </w:tc>
              <w:tc>
                <w:tcPr>
                  <w:tcW w:w="2717" w:type="dxa"/>
                  <w:vMerge w:val="restart"/>
                  <w:vAlign w:val="center"/>
                </w:tcPr>
                <w:p w14:paraId="062B9A85">
                  <w:pPr>
                    <w:jc w:val="center"/>
                    <w:rPr>
                      <w:rFonts w:ascii="Times New Roman" w:hAnsi="Times New Roman" w:eastAsia="宋体" w:cs="Times New Roman"/>
                      <w:b/>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4"/>
                      <w:highlight w:val="none"/>
                      <w14:textFill>
                        <w14:solidFill>
                          <w14:schemeClr w14:val="tx1"/>
                        </w14:solidFill>
                      </w14:textFill>
                    </w:rPr>
                    <w:t>检测点位</w:t>
                  </w:r>
                </w:p>
              </w:tc>
              <w:tc>
                <w:tcPr>
                  <w:tcW w:w="1444" w:type="dxa"/>
                  <w:gridSpan w:val="2"/>
                  <w:vAlign w:val="center"/>
                </w:tcPr>
                <w:p w14:paraId="501C84EA">
                  <w:pPr>
                    <w:jc w:val="center"/>
                    <w:rPr>
                      <w:rFonts w:ascii="Times New Roman" w:hAnsi="Times New Roman" w:eastAsia="宋体" w:cs="Times New Roman"/>
                      <w:b/>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4"/>
                      <w:highlight w:val="none"/>
                      <w14:textFill>
                        <w14:solidFill>
                          <w14:schemeClr w14:val="tx1"/>
                        </w14:solidFill>
                      </w14:textFill>
                    </w:rPr>
                    <w:t>检测结果</w:t>
                  </w:r>
                </w:p>
              </w:tc>
              <w:tc>
                <w:tcPr>
                  <w:tcW w:w="2431" w:type="dxa"/>
                  <w:vMerge w:val="restart"/>
                  <w:vAlign w:val="center"/>
                </w:tcPr>
                <w:p w14:paraId="31392D39">
                  <w:pPr>
                    <w:jc w:val="center"/>
                    <w:rPr>
                      <w:rFonts w:ascii="Times New Roman" w:hAnsi="Times New Roman" w:eastAsia="宋体" w:cs="Times New Roman"/>
                      <w:b/>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4"/>
                      <w:highlight w:val="none"/>
                      <w14:textFill>
                        <w14:solidFill>
                          <w14:schemeClr w14:val="tx1"/>
                        </w14:solidFill>
                      </w14:textFill>
                    </w:rPr>
                    <w:t>标准限值</w:t>
                  </w:r>
                </w:p>
              </w:tc>
              <w:tc>
                <w:tcPr>
                  <w:tcW w:w="909" w:type="dxa"/>
                  <w:vMerge w:val="restart"/>
                  <w:vAlign w:val="center"/>
                </w:tcPr>
                <w:p w14:paraId="1D17C082">
                  <w:pPr>
                    <w:jc w:val="center"/>
                    <w:rPr>
                      <w:rFonts w:ascii="Times New Roman" w:hAnsi="Times New Roman" w:eastAsia="宋体" w:cs="Times New Roman"/>
                      <w:b/>
                      <w:color w:val="000000" w:themeColor="text1"/>
                      <w:szCs w:val="24"/>
                      <w:highlight w:val="none"/>
                      <w14:textFill>
                        <w14:solidFill>
                          <w14:schemeClr w14:val="tx1"/>
                        </w14:solidFill>
                      </w14:textFill>
                    </w:rPr>
                  </w:pPr>
                  <w:r>
                    <w:rPr>
                      <w:rFonts w:ascii="Times New Roman" w:hAnsi="Times New Roman" w:eastAsia="宋体" w:cs="Times New Roman"/>
                      <w:b/>
                      <w:color w:val="000000" w:themeColor="text1"/>
                      <w:szCs w:val="24"/>
                      <w:highlight w:val="none"/>
                      <w14:textFill>
                        <w14:solidFill>
                          <w14:schemeClr w14:val="tx1"/>
                        </w14:solidFill>
                      </w14:textFill>
                    </w:rPr>
                    <w:t>达标情况</w:t>
                  </w:r>
                </w:p>
              </w:tc>
            </w:tr>
            <w:tr w14:paraId="1E0439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dxa"/>
                  <w:vMerge w:val="continue"/>
                  <w:vAlign w:val="center"/>
                </w:tcPr>
                <w:p w14:paraId="6F02BB6B">
                  <w:pPr>
                    <w:jc w:val="center"/>
                    <w:rPr>
                      <w:rFonts w:ascii="Times New Roman" w:hAnsi="Times New Roman" w:eastAsia="宋体" w:cs="Times New Roman"/>
                      <w:b/>
                      <w:color w:val="000000" w:themeColor="text1"/>
                      <w:szCs w:val="24"/>
                      <w:highlight w:val="none"/>
                      <w14:textFill>
                        <w14:solidFill>
                          <w14:schemeClr w14:val="tx1"/>
                        </w14:solidFill>
                      </w14:textFill>
                    </w:rPr>
                  </w:pPr>
                </w:p>
              </w:tc>
              <w:tc>
                <w:tcPr>
                  <w:tcW w:w="2717" w:type="dxa"/>
                  <w:vMerge w:val="continue"/>
                  <w:vAlign w:val="center"/>
                </w:tcPr>
                <w:p w14:paraId="08432838">
                  <w:pPr>
                    <w:jc w:val="center"/>
                    <w:rPr>
                      <w:rFonts w:ascii="Times New Roman" w:hAnsi="Times New Roman" w:eastAsia="宋体" w:cs="Times New Roman"/>
                      <w:b/>
                      <w:color w:val="000000" w:themeColor="text1"/>
                      <w:szCs w:val="24"/>
                      <w:highlight w:val="none"/>
                      <w14:textFill>
                        <w14:solidFill>
                          <w14:schemeClr w14:val="tx1"/>
                        </w14:solidFill>
                      </w14:textFill>
                    </w:rPr>
                  </w:pPr>
                </w:p>
              </w:tc>
              <w:tc>
                <w:tcPr>
                  <w:tcW w:w="722" w:type="dxa"/>
                  <w:vAlign w:val="center"/>
                </w:tcPr>
                <w:p w14:paraId="0C04AD2D">
                  <w:pPr>
                    <w:jc w:val="center"/>
                    <w:rPr>
                      <w:rFonts w:ascii="Times New Roman" w:hAnsi="Times New Roman" w:eastAsia="宋体" w:cs="Times New Roman"/>
                      <w:b/>
                      <w:bCs/>
                      <w:color w:val="000000" w:themeColor="text1"/>
                      <w:szCs w:val="24"/>
                      <w:highlight w:val="none"/>
                      <w14:textFill>
                        <w14:solidFill>
                          <w14:schemeClr w14:val="tx1"/>
                        </w14:solidFill>
                      </w14:textFill>
                    </w:rPr>
                  </w:pPr>
                  <w:r>
                    <w:rPr>
                      <w:rFonts w:ascii="Times New Roman" w:hAnsi="Times New Roman" w:eastAsia="宋体" w:cs="Times New Roman"/>
                      <w:b/>
                      <w:bCs/>
                      <w:color w:val="000000" w:themeColor="text1"/>
                      <w:szCs w:val="24"/>
                      <w:highlight w:val="none"/>
                      <w14:textFill>
                        <w14:solidFill>
                          <w14:schemeClr w14:val="tx1"/>
                        </w14:solidFill>
                      </w14:textFill>
                    </w:rPr>
                    <w:t>昼间</w:t>
                  </w:r>
                </w:p>
              </w:tc>
              <w:tc>
                <w:tcPr>
                  <w:tcW w:w="722" w:type="dxa"/>
                  <w:vAlign w:val="center"/>
                </w:tcPr>
                <w:p w14:paraId="332DFF51">
                  <w:pPr>
                    <w:jc w:val="center"/>
                    <w:rPr>
                      <w:rFonts w:ascii="Times New Roman" w:hAnsi="Times New Roman" w:eastAsia="宋体" w:cs="Times New Roman"/>
                      <w:b/>
                      <w:bCs/>
                      <w:color w:val="000000" w:themeColor="text1"/>
                      <w:szCs w:val="24"/>
                      <w:highlight w:val="none"/>
                      <w14:textFill>
                        <w14:solidFill>
                          <w14:schemeClr w14:val="tx1"/>
                        </w14:solidFill>
                      </w14:textFill>
                    </w:rPr>
                  </w:pPr>
                  <w:r>
                    <w:rPr>
                      <w:rFonts w:ascii="Times New Roman" w:hAnsi="Times New Roman" w:eastAsia="宋体" w:cs="Times New Roman"/>
                      <w:b/>
                      <w:bCs/>
                      <w:color w:val="000000" w:themeColor="text1"/>
                      <w:szCs w:val="24"/>
                      <w:highlight w:val="none"/>
                      <w14:textFill>
                        <w14:solidFill>
                          <w14:schemeClr w14:val="tx1"/>
                        </w14:solidFill>
                      </w14:textFill>
                    </w:rPr>
                    <w:t>夜间</w:t>
                  </w:r>
                </w:p>
              </w:tc>
              <w:tc>
                <w:tcPr>
                  <w:tcW w:w="2431" w:type="dxa"/>
                  <w:vMerge w:val="continue"/>
                  <w:vAlign w:val="center"/>
                </w:tcPr>
                <w:p w14:paraId="510DE9A4">
                  <w:pPr>
                    <w:jc w:val="center"/>
                    <w:rPr>
                      <w:rFonts w:ascii="Times New Roman" w:hAnsi="Times New Roman" w:eastAsia="宋体" w:cs="Times New Roman"/>
                      <w:color w:val="000000" w:themeColor="text1"/>
                      <w:szCs w:val="24"/>
                      <w:highlight w:val="none"/>
                      <w14:textFill>
                        <w14:solidFill>
                          <w14:schemeClr w14:val="tx1"/>
                        </w14:solidFill>
                      </w14:textFill>
                    </w:rPr>
                  </w:pPr>
                </w:p>
              </w:tc>
              <w:tc>
                <w:tcPr>
                  <w:tcW w:w="909" w:type="dxa"/>
                  <w:vMerge w:val="continue"/>
                  <w:vAlign w:val="center"/>
                </w:tcPr>
                <w:p w14:paraId="7DD86BCB">
                  <w:pPr>
                    <w:jc w:val="center"/>
                    <w:rPr>
                      <w:rFonts w:ascii="Times New Roman" w:hAnsi="Times New Roman" w:eastAsia="宋体" w:cs="Times New Roman"/>
                      <w:color w:val="000000" w:themeColor="text1"/>
                      <w:szCs w:val="24"/>
                      <w:highlight w:val="none"/>
                      <w14:textFill>
                        <w14:solidFill>
                          <w14:schemeClr w14:val="tx1"/>
                        </w14:solidFill>
                      </w14:textFill>
                    </w:rPr>
                  </w:pPr>
                </w:p>
              </w:tc>
            </w:tr>
            <w:tr w14:paraId="313273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dxa"/>
                  <w:vAlign w:val="center"/>
                </w:tcPr>
                <w:p w14:paraId="30E22970">
                  <w:pPr>
                    <w:autoSpaceDE w:val="0"/>
                    <w:autoSpaceDN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1#</w:t>
                  </w:r>
                </w:p>
              </w:tc>
              <w:tc>
                <w:tcPr>
                  <w:tcW w:w="2717" w:type="dxa"/>
                  <w:vAlign w:val="center"/>
                </w:tcPr>
                <w:p w14:paraId="7336FA16">
                  <w:pPr>
                    <w:spacing w:line="360" w:lineRule="exact"/>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南侧</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厂界外1#</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敏感点噪声</w:t>
                  </w:r>
                </w:p>
              </w:tc>
              <w:tc>
                <w:tcPr>
                  <w:tcW w:w="722" w:type="dxa"/>
                  <w:vAlign w:val="center"/>
                </w:tcPr>
                <w:p w14:paraId="27A9D905">
                  <w:pPr>
                    <w:jc w:val="center"/>
                    <w:rPr>
                      <w:rFonts w:hint="default" w:ascii="Times New Roman" w:hAnsi="Times New Roman" w:eastAsia="宋体" w:cs="Times New Roman"/>
                      <w:color w:val="000000" w:themeColor="text1"/>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52</w:t>
                  </w:r>
                </w:p>
              </w:tc>
              <w:tc>
                <w:tcPr>
                  <w:tcW w:w="722" w:type="dxa"/>
                  <w:vAlign w:val="center"/>
                </w:tcPr>
                <w:p w14:paraId="6A0D836F">
                  <w:pPr>
                    <w:jc w:val="center"/>
                    <w:rPr>
                      <w:rFonts w:hint="default" w:ascii="Times New Roman" w:hAnsi="Times New Roman" w:eastAsia="宋体" w:cs="Times New Roman"/>
                      <w:color w:val="000000" w:themeColor="text1"/>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43</w:t>
                  </w:r>
                </w:p>
              </w:tc>
              <w:tc>
                <w:tcPr>
                  <w:tcW w:w="2431" w:type="dxa"/>
                  <w:vMerge w:val="restart"/>
                  <w:vAlign w:val="center"/>
                </w:tcPr>
                <w:p w14:paraId="113494FD">
                  <w:pPr>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t>《声环境质量标准》（GB3096-2008）2类标准昼间≤60；夜间≤50</w:t>
                  </w:r>
                </w:p>
              </w:tc>
              <w:tc>
                <w:tcPr>
                  <w:tcW w:w="909" w:type="dxa"/>
                  <w:vAlign w:val="center"/>
                </w:tcPr>
                <w:p w14:paraId="0BF19CA7">
                  <w:pPr>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t>达标</w:t>
                  </w:r>
                </w:p>
              </w:tc>
            </w:tr>
            <w:tr w14:paraId="260968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dxa"/>
                  <w:vAlign w:val="center"/>
                </w:tcPr>
                <w:p w14:paraId="45B200FE">
                  <w:pPr>
                    <w:autoSpaceDE w:val="0"/>
                    <w:autoSpaceDN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2#</w:t>
                  </w:r>
                </w:p>
              </w:tc>
              <w:tc>
                <w:tcPr>
                  <w:tcW w:w="2717" w:type="dxa"/>
                  <w:vAlign w:val="center"/>
                </w:tcPr>
                <w:p w14:paraId="65C2CB35">
                  <w:pPr>
                    <w:spacing w:line="360" w:lineRule="exact"/>
                    <w:jc w:val="center"/>
                    <w:rPr>
                      <w:rFonts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南侧厂界外2#</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敏感点噪声</w:t>
                  </w:r>
                </w:p>
              </w:tc>
              <w:tc>
                <w:tcPr>
                  <w:tcW w:w="722" w:type="dxa"/>
                  <w:vAlign w:val="center"/>
                </w:tcPr>
                <w:p w14:paraId="6A1A0FE8">
                  <w:pPr>
                    <w:jc w:val="center"/>
                    <w:rPr>
                      <w:rFonts w:hint="default" w:ascii="Times New Roman" w:hAnsi="Times New Roman" w:eastAsia="宋体" w:cs="Times New Roman"/>
                      <w:color w:val="000000" w:themeColor="text1"/>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50</w:t>
                  </w:r>
                </w:p>
              </w:tc>
              <w:tc>
                <w:tcPr>
                  <w:tcW w:w="722" w:type="dxa"/>
                  <w:vAlign w:val="center"/>
                </w:tcPr>
                <w:p w14:paraId="47A14F19">
                  <w:pPr>
                    <w:jc w:val="center"/>
                    <w:rPr>
                      <w:rFonts w:hint="default" w:ascii="Times New Roman" w:hAnsi="Times New Roman" w:eastAsia="宋体" w:cs="Times New Roman"/>
                      <w:color w:val="000000" w:themeColor="text1"/>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41</w:t>
                  </w:r>
                </w:p>
              </w:tc>
              <w:tc>
                <w:tcPr>
                  <w:tcW w:w="2431" w:type="dxa"/>
                  <w:vMerge w:val="continue"/>
                  <w:vAlign w:val="center"/>
                </w:tcPr>
                <w:p w14:paraId="49DC6E48">
                  <w:pPr>
                    <w:jc w:val="center"/>
                    <w:rPr>
                      <w:rFonts w:ascii="Times New Roman" w:hAnsi="Times New Roman" w:eastAsia="宋体" w:cs="Times New Roman"/>
                      <w:color w:val="000000" w:themeColor="text1"/>
                      <w:szCs w:val="24"/>
                      <w:highlight w:val="none"/>
                      <w14:textFill>
                        <w14:solidFill>
                          <w14:schemeClr w14:val="tx1"/>
                        </w14:solidFill>
                      </w14:textFill>
                    </w:rPr>
                  </w:pPr>
                </w:p>
              </w:tc>
              <w:tc>
                <w:tcPr>
                  <w:tcW w:w="909" w:type="dxa"/>
                  <w:vAlign w:val="center"/>
                </w:tcPr>
                <w:p w14:paraId="5460CA7A">
                  <w:pPr>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t>达标</w:t>
                  </w:r>
                </w:p>
              </w:tc>
            </w:tr>
            <w:tr w14:paraId="1719B7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dxa"/>
                  <w:vAlign w:val="center"/>
                </w:tcPr>
                <w:p w14:paraId="7604A284">
                  <w:pPr>
                    <w:autoSpaceDE w:val="0"/>
                    <w:autoSpaceDN w:val="0"/>
                    <w:jc w:val="center"/>
                    <w:rPr>
                      <w:rFonts w:hint="default" w:ascii="Times New Roman" w:hAnsi="Times New Roman" w:eastAsia="宋体" w:cs="Times New Roman"/>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highlight w:val="none"/>
                      <w:lang w:val="en-US" w:eastAsia="zh-CN"/>
                      <w14:textFill>
                        <w14:solidFill>
                          <w14:schemeClr w14:val="tx1"/>
                        </w14:solidFill>
                      </w14:textFill>
                    </w:rPr>
                    <w:t>3#</w:t>
                  </w:r>
                </w:p>
              </w:tc>
              <w:tc>
                <w:tcPr>
                  <w:tcW w:w="2717" w:type="dxa"/>
                  <w:vAlign w:val="center"/>
                </w:tcPr>
                <w:p w14:paraId="62523804">
                  <w:pPr>
                    <w:spacing w:line="360" w:lineRule="exact"/>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东北侧厂界外</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敏感点噪声</w:t>
                  </w:r>
                </w:p>
              </w:tc>
              <w:tc>
                <w:tcPr>
                  <w:tcW w:w="722" w:type="dxa"/>
                  <w:vAlign w:val="center"/>
                </w:tcPr>
                <w:p w14:paraId="44CF934E">
                  <w:pPr>
                    <w:jc w:val="center"/>
                    <w:rPr>
                      <w:rFonts w:hint="default" w:ascii="Times New Roman" w:hAnsi="Times New Roman" w:eastAsia="宋体" w:cs="Times New Roman"/>
                      <w:color w:val="000000" w:themeColor="text1"/>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51</w:t>
                  </w:r>
                </w:p>
              </w:tc>
              <w:tc>
                <w:tcPr>
                  <w:tcW w:w="722" w:type="dxa"/>
                  <w:vAlign w:val="center"/>
                </w:tcPr>
                <w:p w14:paraId="49A610C3">
                  <w:pPr>
                    <w:jc w:val="center"/>
                    <w:rPr>
                      <w:rFonts w:hint="default" w:ascii="Times New Roman" w:hAnsi="Times New Roman" w:eastAsia="宋体" w:cs="Times New Roman"/>
                      <w:color w:val="000000" w:themeColor="text1"/>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42</w:t>
                  </w:r>
                </w:p>
              </w:tc>
              <w:tc>
                <w:tcPr>
                  <w:tcW w:w="2431" w:type="dxa"/>
                  <w:vMerge w:val="continue"/>
                  <w:vAlign w:val="center"/>
                </w:tcPr>
                <w:p w14:paraId="3B03F902">
                  <w:pPr>
                    <w:jc w:val="center"/>
                    <w:rPr>
                      <w:rFonts w:ascii="Times New Roman" w:hAnsi="Times New Roman" w:eastAsia="宋体" w:cs="Times New Roman"/>
                      <w:color w:val="000000" w:themeColor="text1"/>
                      <w:szCs w:val="24"/>
                      <w:highlight w:val="none"/>
                      <w14:textFill>
                        <w14:solidFill>
                          <w14:schemeClr w14:val="tx1"/>
                        </w14:solidFill>
                      </w14:textFill>
                    </w:rPr>
                  </w:pPr>
                </w:p>
              </w:tc>
              <w:tc>
                <w:tcPr>
                  <w:tcW w:w="909" w:type="dxa"/>
                  <w:vAlign w:val="center"/>
                </w:tcPr>
                <w:p w14:paraId="1A2F3AC3">
                  <w:pPr>
                    <w:jc w:val="center"/>
                    <w:rPr>
                      <w:rFonts w:ascii="Times New Roman" w:hAnsi="Times New Roman" w:eastAsia="宋体" w:cs="Times New Roman"/>
                      <w:color w:val="000000" w:themeColor="text1"/>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t>达标</w:t>
                  </w:r>
                </w:p>
              </w:tc>
            </w:tr>
          </w:tbl>
          <w:p w14:paraId="15DE0CB3">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由上表可知，项目敏感点噪声值满足《声环境质量标准》（GB3096-2008）2类标准值，说明项目所在区域声环境质量良好。</w:t>
            </w:r>
          </w:p>
          <w:p w14:paraId="18723488">
            <w:pPr>
              <w:keepNext w:val="0"/>
              <w:keepLines w:val="0"/>
              <w:pageBreakBefore w:val="0"/>
              <w:widowControl w:val="0"/>
              <w:kinsoku/>
              <w:wordWrap/>
              <w:overflowPunct/>
              <w:topLinePunct w:val="0"/>
              <w:autoSpaceDE/>
              <w:autoSpaceDN/>
              <w:bidi w:val="0"/>
              <w:adjustRightInd/>
              <w:snapToGrid w:val="0"/>
              <w:spacing w:line="360" w:lineRule="auto"/>
              <w:textAlignment w:val="auto"/>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四、生态环境现状</w:t>
            </w:r>
          </w:p>
          <w:p w14:paraId="53B8DE61">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本</w:t>
            </w:r>
            <w:r>
              <w:rPr>
                <w:rFonts w:hint="eastAsia" w:ascii="Times New Roman" w:hAnsi="Times New Roman" w:eastAsia="宋体"/>
                <w:color w:val="000000" w:themeColor="text1"/>
                <w:kern w:val="0"/>
                <w:sz w:val="24"/>
                <w:szCs w:val="24"/>
                <w:highlight w:val="none"/>
                <w14:textFill>
                  <w14:solidFill>
                    <w14:schemeClr w14:val="tx1"/>
                  </w14:solidFill>
                </w14:textFill>
              </w:rPr>
              <w:t>项目</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位于</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四川省遂宁市蓬溪县大石镇偏马村一社</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，建设区域内为</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集体建设用地</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由于人类活动影响，周边主要以人工植被为主，项目区所在地未发现划定的自然生态保护区和重点保护的野生动植物的存在。</w:t>
            </w:r>
          </w:p>
        </w:tc>
      </w:tr>
      <w:tr w14:paraId="0B9679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6E2523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环境保护目标</w:t>
            </w:r>
          </w:p>
        </w:tc>
        <w:tc>
          <w:tcPr>
            <w:tcW w:w="4500" w:type="pct"/>
          </w:tcPr>
          <w:p w14:paraId="0514BA41">
            <w:pPr>
              <w:adjustRightInd w:val="0"/>
              <w:snapToGrid w:val="0"/>
              <w:spacing w:before="120" w:beforeLines="50" w:line="360" w:lineRule="auto"/>
              <w:jc w:val="left"/>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一</w:t>
            </w:r>
            <w:r>
              <w:rPr>
                <w:rFonts w:ascii="Times New Roman" w:hAnsi="Times New Roman" w:eastAsia="宋体" w:cs="Times New Roman"/>
                <w:b/>
                <w:bCs/>
                <w:color w:val="000000" w:themeColor="text1"/>
                <w:sz w:val="24"/>
                <w:szCs w:val="24"/>
                <w:highlight w:val="none"/>
                <w14:textFill>
                  <w14:solidFill>
                    <w14:schemeClr w14:val="tx1"/>
                  </w14:solidFill>
                </w14:textFill>
              </w:rPr>
              <w:t>、大气环境保护目标</w:t>
            </w:r>
          </w:p>
          <w:p w14:paraId="3E0863EB">
            <w:pPr>
              <w:adjustRightInd w:val="0"/>
              <w:snapToGrid w:val="0"/>
              <w:spacing w:line="360" w:lineRule="auto"/>
              <w:ind w:firstLine="480" w:firstLineChars="200"/>
              <w:rPr>
                <w:rFonts w:ascii="Times New Roman" w:hAnsi="Times New Roman" w:eastAsia="宋体" w:cs="Times New Roman"/>
                <w:bCs/>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本项目厂界外500m范围内涉及大气环境保护目标</w:t>
            </w:r>
            <w:r>
              <w:rPr>
                <w:rFonts w:ascii="Times New Roman" w:hAnsi="Times New Roman" w:eastAsia="宋体" w:cs="Times New Roman"/>
                <w:bCs/>
                <w:color w:val="000000" w:themeColor="text1"/>
                <w:sz w:val="24"/>
                <w:szCs w:val="24"/>
                <w:highlight w:val="none"/>
                <w14:textFill>
                  <w14:solidFill>
                    <w14:schemeClr w14:val="tx1"/>
                  </w14:solidFill>
                </w14:textFill>
              </w:rPr>
              <w:t>见下表。</w:t>
            </w:r>
          </w:p>
          <w:p w14:paraId="186B2D1F">
            <w:pPr>
              <w:autoSpaceDE w:val="0"/>
              <w:autoSpaceDN w:val="0"/>
              <w:adjustRightInd w:val="0"/>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表3-</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7</w:t>
            </w:r>
            <w:r>
              <w:rPr>
                <w:rFonts w:ascii="Times New Roman" w:hAnsi="Times New Roman" w:eastAsia="宋体" w:cs="Times New Roman"/>
                <w:b/>
                <w:bCs/>
                <w:color w:val="000000" w:themeColor="text1"/>
                <w:szCs w:val="21"/>
                <w:highlight w:val="none"/>
                <w14:textFill>
                  <w14:solidFill>
                    <w14:schemeClr w14:val="tx1"/>
                  </w14:solidFill>
                </w14:textFill>
              </w:rPr>
              <w:t xml:space="preserve">      本项目大气环境主要保护目标</w:t>
            </w:r>
          </w:p>
          <w:tbl>
            <w:tblPr>
              <w:tblStyle w:val="20"/>
              <w:tblW w:w="80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61"/>
              <w:gridCol w:w="1484"/>
              <w:gridCol w:w="1333"/>
              <w:gridCol w:w="1267"/>
              <w:gridCol w:w="1083"/>
              <w:gridCol w:w="950"/>
              <w:gridCol w:w="1059"/>
            </w:tblGrid>
            <w:tr w14:paraId="55575A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13" w:hRule="atLeast"/>
                <w:jc w:val="center"/>
              </w:trPr>
              <w:tc>
                <w:tcPr>
                  <w:tcW w:w="861" w:type="dxa"/>
                  <w:noWrap w:val="0"/>
                  <w:vAlign w:val="center"/>
                </w:tcPr>
                <w:p w14:paraId="2B3CF87F">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环境类别</w:t>
                  </w:r>
                </w:p>
              </w:tc>
              <w:tc>
                <w:tcPr>
                  <w:tcW w:w="1484" w:type="dxa"/>
                  <w:noWrap w:val="0"/>
                  <w:vAlign w:val="center"/>
                </w:tcPr>
                <w:p w14:paraId="3D963D85">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环境保护目标</w:t>
                  </w:r>
                </w:p>
              </w:tc>
              <w:tc>
                <w:tcPr>
                  <w:tcW w:w="1333" w:type="dxa"/>
                  <w:noWrap w:val="0"/>
                  <w:vAlign w:val="center"/>
                </w:tcPr>
                <w:p w14:paraId="7FA02BCA">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方位与距离</w:t>
                  </w:r>
                </w:p>
              </w:tc>
              <w:tc>
                <w:tcPr>
                  <w:tcW w:w="2350" w:type="dxa"/>
                  <w:gridSpan w:val="2"/>
                  <w:noWrap w:val="0"/>
                  <w:vAlign w:val="center"/>
                </w:tcPr>
                <w:p w14:paraId="4B972A99">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坐标</w:t>
                  </w:r>
                </w:p>
              </w:tc>
              <w:tc>
                <w:tcPr>
                  <w:tcW w:w="950" w:type="dxa"/>
                  <w:noWrap w:val="0"/>
                  <w:vAlign w:val="center"/>
                </w:tcPr>
                <w:p w14:paraId="6E0230A5">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规模</w:t>
                  </w:r>
                </w:p>
              </w:tc>
              <w:tc>
                <w:tcPr>
                  <w:tcW w:w="1059" w:type="dxa"/>
                  <w:noWrap w:val="0"/>
                  <w:vAlign w:val="center"/>
                </w:tcPr>
                <w:p w14:paraId="16F09AE1">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环境功能</w:t>
                  </w:r>
                </w:p>
              </w:tc>
            </w:tr>
            <w:tr w14:paraId="1FD54F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restart"/>
                  <w:noWrap w:val="0"/>
                  <w:vAlign w:val="center"/>
                </w:tcPr>
                <w:p w14:paraId="3F6D2B00">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环境空气</w:t>
                  </w:r>
                </w:p>
              </w:tc>
              <w:tc>
                <w:tcPr>
                  <w:tcW w:w="1484" w:type="dxa"/>
                  <w:noWrap w:val="0"/>
                  <w:vAlign w:val="center"/>
                </w:tcPr>
                <w:p w14:paraId="6955EB7A">
                  <w:pPr>
                    <w:snapToGrid w:val="0"/>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33F373DC">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东北侧14m</w:t>
                  </w:r>
                </w:p>
              </w:tc>
              <w:tc>
                <w:tcPr>
                  <w:tcW w:w="1267" w:type="dxa"/>
                  <w:noWrap w:val="0"/>
                  <w:vAlign w:val="center"/>
                </w:tcPr>
                <w:p w14:paraId="3430F2C6">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105°37′54.63″</w:t>
                  </w:r>
                </w:p>
              </w:tc>
              <w:tc>
                <w:tcPr>
                  <w:tcW w:w="1083" w:type="dxa"/>
                  <w:noWrap w:val="0"/>
                  <w:vAlign w:val="center"/>
                </w:tcPr>
                <w:p w14:paraId="0CE72AC4">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30°39′33.6″</w:t>
                  </w:r>
                </w:p>
              </w:tc>
              <w:tc>
                <w:tcPr>
                  <w:tcW w:w="950" w:type="dxa"/>
                  <w:noWrap w:val="0"/>
                  <w:vAlign w:val="center"/>
                </w:tcPr>
                <w:p w14:paraId="444C433B">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约36人</w:t>
                  </w:r>
                </w:p>
              </w:tc>
              <w:tc>
                <w:tcPr>
                  <w:tcW w:w="1059" w:type="dxa"/>
                  <w:vMerge w:val="restart"/>
                  <w:noWrap w:val="0"/>
                  <w:vAlign w:val="center"/>
                </w:tcPr>
                <w:p w14:paraId="02893013">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《环境空气质量标准》（GB3095-2012）中二类</w:t>
                  </w:r>
                </w:p>
              </w:tc>
            </w:tr>
            <w:tr w14:paraId="5DBC17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47A3E6CB">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28279C79">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大石场镇住户</w:t>
                  </w:r>
                </w:p>
              </w:tc>
              <w:tc>
                <w:tcPr>
                  <w:tcW w:w="1333" w:type="dxa"/>
                  <w:noWrap w:val="0"/>
                  <w:vAlign w:val="center"/>
                </w:tcPr>
                <w:p w14:paraId="0746CC4E">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东侧85m</w:t>
                  </w:r>
                </w:p>
              </w:tc>
              <w:tc>
                <w:tcPr>
                  <w:tcW w:w="1267" w:type="dxa"/>
                  <w:noWrap w:val="0"/>
                  <w:vAlign w:val="center"/>
                </w:tcPr>
                <w:p w14:paraId="753AAA2A">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105°37′56.06″</w:t>
                  </w:r>
                </w:p>
              </w:tc>
              <w:tc>
                <w:tcPr>
                  <w:tcW w:w="1083" w:type="dxa"/>
                  <w:noWrap w:val="0"/>
                  <w:vAlign w:val="center"/>
                </w:tcPr>
                <w:p w14:paraId="052036BD">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30°39′27.5″</w:t>
                  </w:r>
                </w:p>
              </w:tc>
              <w:tc>
                <w:tcPr>
                  <w:tcW w:w="950" w:type="dxa"/>
                  <w:noWrap w:val="0"/>
                  <w:vAlign w:val="center"/>
                </w:tcPr>
                <w:p w14:paraId="383E835A">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约1500人</w:t>
                  </w:r>
                </w:p>
              </w:tc>
              <w:tc>
                <w:tcPr>
                  <w:tcW w:w="1059" w:type="dxa"/>
                  <w:vMerge w:val="continue"/>
                  <w:noWrap w:val="0"/>
                  <w:vAlign w:val="center"/>
                </w:tcPr>
                <w:p w14:paraId="7949FB0A">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5A1DA3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73E6558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6941C092">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大石中学</w:t>
                  </w:r>
                </w:p>
              </w:tc>
              <w:tc>
                <w:tcPr>
                  <w:tcW w:w="1333" w:type="dxa"/>
                  <w:noWrap w:val="0"/>
                  <w:vAlign w:val="center"/>
                </w:tcPr>
                <w:p w14:paraId="7E3519A8">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东侧320m</w:t>
                  </w:r>
                </w:p>
              </w:tc>
              <w:tc>
                <w:tcPr>
                  <w:tcW w:w="1267" w:type="dxa"/>
                  <w:noWrap w:val="0"/>
                  <w:vAlign w:val="center"/>
                </w:tcPr>
                <w:p w14:paraId="7D1F7E7E">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105°38′7.06″</w:t>
                  </w:r>
                </w:p>
              </w:tc>
              <w:tc>
                <w:tcPr>
                  <w:tcW w:w="1083" w:type="dxa"/>
                  <w:noWrap w:val="0"/>
                  <w:vAlign w:val="center"/>
                </w:tcPr>
                <w:p w14:paraId="067116D5">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30°39′29.7″</w:t>
                  </w:r>
                </w:p>
              </w:tc>
              <w:tc>
                <w:tcPr>
                  <w:tcW w:w="950" w:type="dxa"/>
                  <w:noWrap w:val="0"/>
                  <w:vAlign w:val="center"/>
                </w:tcPr>
                <w:p w14:paraId="35AF9239">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约800人</w:t>
                  </w:r>
                </w:p>
              </w:tc>
              <w:tc>
                <w:tcPr>
                  <w:tcW w:w="1059" w:type="dxa"/>
                  <w:vMerge w:val="continue"/>
                  <w:noWrap w:val="0"/>
                  <w:vAlign w:val="center"/>
                </w:tcPr>
                <w:p w14:paraId="079F8F16">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567E3F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1AC7C073">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7E60ABB4">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02EA2B71">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东南侧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366m</w:t>
                  </w:r>
                </w:p>
              </w:tc>
              <w:tc>
                <w:tcPr>
                  <w:tcW w:w="1267" w:type="dxa"/>
                  <w:noWrap w:val="0"/>
                  <w:vAlign w:val="center"/>
                </w:tcPr>
                <w:p w14:paraId="6CC7AB44">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105°38′0.81″</w:t>
                  </w:r>
                </w:p>
              </w:tc>
              <w:tc>
                <w:tcPr>
                  <w:tcW w:w="1083" w:type="dxa"/>
                  <w:noWrap w:val="0"/>
                  <w:vAlign w:val="center"/>
                </w:tcPr>
                <w:p w14:paraId="23DEFD37">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30°39′18.8″</w:t>
                  </w:r>
                </w:p>
              </w:tc>
              <w:tc>
                <w:tcPr>
                  <w:tcW w:w="950" w:type="dxa"/>
                  <w:noWrap w:val="0"/>
                  <w:vAlign w:val="center"/>
                </w:tcPr>
                <w:p w14:paraId="7A6CFC99">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约40人</w:t>
                  </w:r>
                </w:p>
              </w:tc>
              <w:tc>
                <w:tcPr>
                  <w:tcW w:w="1059" w:type="dxa"/>
                  <w:vMerge w:val="continue"/>
                  <w:noWrap w:val="0"/>
                  <w:vAlign w:val="center"/>
                </w:tcPr>
                <w:p w14:paraId="409250C2">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1D6F38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5977A15A">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5F6C3CC5">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7E35BCC8">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5m</w:t>
                  </w:r>
                </w:p>
              </w:tc>
              <w:tc>
                <w:tcPr>
                  <w:tcW w:w="1267" w:type="dxa"/>
                  <w:noWrap w:val="0"/>
                  <w:vAlign w:val="center"/>
                </w:tcPr>
                <w:p w14:paraId="2FC2C4EB">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105°37′47.85″</w:t>
                  </w:r>
                </w:p>
              </w:tc>
              <w:tc>
                <w:tcPr>
                  <w:tcW w:w="1083" w:type="dxa"/>
                  <w:noWrap w:val="0"/>
                  <w:vAlign w:val="center"/>
                </w:tcPr>
                <w:p w14:paraId="66A746D8">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30°39′27.6″</w:t>
                  </w:r>
                </w:p>
              </w:tc>
              <w:tc>
                <w:tcPr>
                  <w:tcW w:w="950" w:type="dxa"/>
                  <w:noWrap w:val="0"/>
                  <w:vAlign w:val="center"/>
                </w:tcPr>
                <w:p w14:paraId="0C33C120">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约6人</w:t>
                  </w:r>
                </w:p>
              </w:tc>
              <w:tc>
                <w:tcPr>
                  <w:tcW w:w="1059" w:type="dxa"/>
                  <w:vMerge w:val="continue"/>
                  <w:noWrap w:val="0"/>
                  <w:vAlign w:val="center"/>
                </w:tcPr>
                <w:p w14:paraId="24157B92">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38E88E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1E5B464E">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321036CB">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7B0D4079">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8m</w:t>
                  </w:r>
                </w:p>
              </w:tc>
              <w:tc>
                <w:tcPr>
                  <w:tcW w:w="1267" w:type="dxa"/>
                  <w:noWrap w:val="0"/>
                  <w:vAlign w:val="center"/>
                </w:tcPr>
                <w:p w14:paraId="160C5535">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105°37′49.72″</w:t>
                  </w:r>
                </w:p>
              </w:tc>
              <w:tc>
                <w:tcPr>
                  <w:tcW w:w="1083" w:type="dxa"/>
                  <w:noWrap w:val="0"/>
                  <w:vAlign w:val="center"/>
                </w:tcPr>
                <w:p w14:paraId="15353AF3">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30°39′25.7″</w:t>
                  </w:r>
                </w:p>
              </w:tc>
              <w:tc>
                <w:tcPr>
                  <w:tcW w:w="950" w:type="dxa"/>
                  <w:noWrap w:val="0"/>
                  <w:vAlign w:val="center"/>
                </w:tcPr>
                <w:p w14:paraId="33668FD4">
                  <w:pPr>
                    <w:snapToGrid w:val="0"/>
                    <w:jc w:val="center"/>
                    <w:rPr>
                      <w:rFonts w:hint="default" w:ascii="Times New Roman" w:hAnsi="Times New Roman" w:eastAsia="宋体" w:cs="Times New Roman"/>
                      <w:bCs/>
                      <w:color w:val="000000" w:themeColor="text1"/>
                      <w:szCs w:val="21"/>
                      <w:highlight w:val="none"/>
                      <w:lang w:val="en-US"/>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约200人</w:t>
                  </w:r>
                </w:p>
              </w:tc>
              <w:tc>
                <w:tcPr>
                  <w:tcW w:w="1059" w:type="dxa"/>
                  <w:vMerge w:val="continue"/>
                  <w:noWrap w:val="0"/>
                  <w:vAlign w:val="center"/>
                </w:tcPr>
                <w:p w14:paraId="67008966">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6EC99E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7D75C5E1">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2AD99630">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通祥家园住户</w:t>
                  </w:r>
                </w:p>
              </w:tc>
              <w:tc>
                <w:tcPr>
                  <w:tcW w:w="1333" w:type="dxa"/>
                  <w:noWrap w:val="0"/>
                  <w:vAlign w:val="center"/>
                </w:tcPr>
                <w:p w14:paraId="5ED7CF63">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80m</w:t>
                  </w:r>
                </w:p>
              </w:tc>
              <w:tc>
                <w:tcPr>
                  <w:tcW w:w="1267" w:type="dxa"/>
                  <w:noWrap w:val="0"/>
                  <w:vAlign w:val="center"/>
                </w:tcPr>
                <w:p w14:paraId="106BF8BF">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105°37′42.73″</w:t>
                  </w:r>
                </w:p>
              </w:tc>
              <w:tc>
                <w:tcPr>
                  <w:tcW w:w="1083" w:type="dxa"/>
                  <w:noWrap w:val="0"/>
                  <w:vAlign w:val="center"/>
                </w:tcPr>
                <w:p w14:paraId="70AEC6CE">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30°39′25.3″</w:t>
                  </w:r>
                </w:p>
              </w:tc>
              <w:tc>
                <w:tcPr>
                  <w:tcW w:w="950" w:type="dxa"/>
                  <w:noWrap w:val="0"/>
                  <w:vAlign w:val="center"/>
                </w:tcPr>
                <w:p w14:paraId="431C9A83">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约300人</w:t>
                  </w:r>
                </w:p>
              </w:tc>
              <w:tc>
                <w:tcPr>
                  <w:tcW w:w="1059" w:type="dxa"/>
                  <w:vMerge w:val="continue"/>
                  <w:noWrap w:val="0"/>
                  <w:vAlign w:val="center"/>
                </w:tcPr>
                <w:p w14:paraId="21BE83E7">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1D5496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5630BE04">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570576B9">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09073E01">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243m</w:t>
                  </w:r>
                </w:p>
              </w:tc>
              <w:tc>
                <w:tcPr>
                  <w:tcW w:w="1267" w:type="dxa"/>
                  <w:noWrap w:val="0"/>
                  <w:vAlign w:val="center"/>
                </w:tcPr>
                <w:p w14:paraId="49E8BE96">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105°37′43.72″</w:t>
                  </w:r>
                </w:p>
              </w:tc>
              <w:tc>
                <w:tcPr>
                  <w:tcW w:w="1083" w:type="dxa"/>
                  <w:noWrap w:val="0"/>
                  <w:vAlign w:val="center"/>
                </w:tcPr>
                <w:p w14:paraId="6CCC9712">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30°39′19.8″</w:t>
                  </w:r>
                </w:p>
              </w:tc>
              <w:tc>
                <w:tcPr>
                  <w:tcW w:w="950" w:type="dxa"/>
                  <w:noWrap w:val="0"/>
                  <w:vAlign w:val="center"/>
                </w:tcPr>
                <w:p w14:paraId="3A8BA3B1">
                  <w:pPr>
                    <w:snapToGrid w:val="0"/>
                    <w:jc w:val="cente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约60人</w:t>
                  </w:r>
                </w:p>
              </w:tc>
              <w:tc>
                <w:tcPr>
                  <w:tcW w:w="1059" w:type="dxa"/>
                  <w:vMerge w:val="continue"/>
                  <w:noWrap w:val="0"/>
                  <w:vAlign w:val="center"/>
                </w:tcPr>
                <w:p w14:paraId="386A118D">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766C36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18F32449">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6493924D">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597C590C">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114m</w:t>
                  </w:r>
                </w:p>
              </w:tc>
              <w:tc>
                <w:tcPr>
                  <w:tcW w:w="1267" w:type="dxa"/>
                  <w:noWrap w:val="0"/>
                  <w:vAlign w:val="center"/>
                </w:tcPr>
                <w:p w14:paraId="1D861406">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105°37′39.18″</w:t>
                  </w:r>
                </w:p>
              </w:tc>
              <w:tc>
                <w:tcPr>
                  <w:tcW w:w="1083" w:type="dxa"/>
                  <w:noWrap w:val="0"/>
                  <w:vAlign w:val="center"/>
                </w:tcPr>
                <w:p w14:paraId="2969325B">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30°39′28.0″</w:t>
                  </w:r>
                </w:p>
              </w:tc>
              <w:tc>
                <w:tcPr>
                  <w:tcW w:w="950" w:type="dxa"/>
                  <w:noWrap w:val="0"/>
                  <w:vAlign w:val="center"/>
                </w:tcPr>
                <w:p w14:paraId="6EFB860E">
                  <w:pPr>
                    <w:snapToGrid w:val="0"/>
                    <w:jc w:val="cente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约30人</w:t>
                  </w:r>
                </w:p>
              </w:tc>
              <w:tc>
                <w:tcPr>
                  <w:tcW w:w="1059" w:type="dxa"/>
                  <w:vMerge w:val="continue"/>
                  <w:noWrap w:val="0"/>
                  <w:vAlign w:val="center"/>
                </w:tcPr>
                <w:p w14:paraId="0A0EBE65">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30A9F2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1CC2F20B">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1E19BC5B">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1C56504F">
                  <w:pPr>
                    <w:snapToGrid w:val="0"/>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323m</w:t>
                  </w:r>
                </w:p>
              </w:tc>
              <w:tc>
                <w:tcPr>
                  <w:tcW w:w="1267" w:type="dxa"/>
                  <w:noWrap w:val="0"/>
                  <w:vAlign w:val="center"/>
                </w:tcPr>
                <w:p w14:paraId="76410421">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105°37′32.50″</w:t>
                  </w:r>
                </w:p>
              </w:tc>
              <w:tc>
                <w:tcPr>
                  <w:tcW w:w="1083" w:type="dxa"/>
                  <w:noWrap w:val="0"/>
                  <w:vAlign w:val="center"/>
                </w:tcPr>
                <w:p w14:paraId="6AACCA5E">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30°39′23.2″</w:t>
                  </w:r>
                </w:p>
              </w:tc>
              <w:tc>
                <w:tcPr>
                  <w:tcW w:w="950" w:type="dxa"/>
                  <w:noWrap w:val="0"/>
                  <w:vAlign w:val="center"/>
                </w:tcPr>
                <w:p w14:paraId="77080862">
                  <w:pPr>
                    <w:snapToGrid w:val="0"/>
                    <w:jc w:val="cente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约70人</w:t>
                  </w:r>
                </w:p>
              </w:tc>
              <w:tc>
                <w:tcPr>
                  <w:tcW w:w="1059" w:type="dxa"/>
                  <w:vMerge w:val="continue"/>
                  <w:noWrap w:val="0"/>
                  <w:vAlign w:val="center"/>
                </w:tcPr>
                <w:p w14:paraId="49C1A153">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52C44C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60BC9992">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63A5BF4D">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3ABE129D">
                  <w:pPr>
                    <w:snapToGrid w:val="0"/>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445m</w:t>
                  </w:r>
                </w:p>
              </w:tc>
              <w:tc>
                <w:tcPr>
                  <w:tcW w:w="1267" w:type="dxa"/>
                  <w:noWrap w:val="0"/>
                  <w:vAlign w:val="center"/>
                </w:tcPr>
                <w:p w14:paraId="4C3664B1">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105°37′27.90″</w:t>
                  </w:r>
                </w:p>
              </w:tc>
              <w:tc>
                <w:tcPr>
                  <w:tcW w:w="1083" w:type="dxa"/>
                  <w:noWrap w:val="0"/>
                  <w:vAlign w:val="center"/>
                </w:tcPr>
                <w:p w14:paraId="5C797F8B">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30°39′32.3″</w:t>
                  </w:r>
                </w:p>
              </w:tc>
              <w:tc>
                <w:tcPr>
                  <w:tcW w:w="950" w:type="dxa"/>
                  <w:noWrap w:val="0"/>
                  <w:vAlign w:val="center"/>
                </w:tcPr>
                <w:p w14:paraId="666F3EA1">
                  <w:pPr>
                    <w:snapToGrid w:val="0"/>
                    <w:jc w:val="cente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约15人</w:t>
                  </w:r>
                </w:p>
              </w:tc>
              <w:tc>
                <w:tcPr>
                  <w:tcW w:w="1059" w:type="dxa"/>
                  <w:vMerge w:val="continue"/>
                  <w:noWrap w:val="0"/>
                  <w:vAlign w:val="center"/>
                </w:tcPr>
                <w:p w14:paraId="2291EB34">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37C834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67417A7B">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366BF00A">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3" w:type="dxa"/>
                  <w:noWrap w:val="0"/>
                  <w:vAlign w:val="center"/>
                </w:tcPr>
                <w:p w14:paraId="4BE03016">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154m</w:t>
                  </w:r>
                </w:p>
              </w:tc>
              <w:tc>
                <w:tcPr>
                  <w:tcW w:w="1267" w:type="dxa"/>
                  <w:noWrap w:val="0"/>
                  <w:vAlign w:val="center"/>
                </w:tcPr>
                <w:p w14:paraId="5D14F0BC">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105°37′49.99″</w:t>
                  </w:r>
                </w:p>
              </w:tc>
              <w:tc>
                <w:tcPr>
                  <w:tcW w:w="1083" w:type="dxa"/>
                  <w:noWrap w:val="0"/>
                  <w:vAlign w:val="center"/>
                </w:tcPr>
                <w:p w14:paraId="54BB1F34">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30°39′39.7″</w:t>
                  </w:r>
                </w:p>
              </w:tc>
              <w:tc>
                <w:tcPr>
                  <w:tcW w:w="950" w:type="dxa"/>
                  <w:noWrap w:val="0"/>
                  <w:vAlign w:val="center"/>
                </w:tcPr>
                <w:p w14:paraId="3254D8A7">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约100人</w:t>
                  </w:r>
                </w:p>
              </w:tc>
              <w:tc>
                <w:tcPr>
                  <w:tcW w:w="1059" w:type="dxa"/>
                  <w:vMerge w:val="continue"/>
                  <w:noWrap w:val="0"/>
                  <w:vAlign w:val="center"/>
                </w:tcPr>
                <w:p w14:paraId="0884E454">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bl>
          <w:p w14:paraId="7B88FDFB">
            <w:pPr>
              <w:adjustRightInd w:val="0"/>
              <w:snapToGrid w:val="0"/>
              <w:spacing w:before="120" w:beforeLines="50" w:line="360" w:lineRule="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二</w:t>
            </w:r>
            <w:r>
              <w:rPr>
                <w:rFonts w:ascii="Times New Roman" w:hAnsi="Times New Roman" w:eastAsia="宋体" w:cs="Times New Roman"/>
                <w:b/>
                <w:bCs/>
                <w:color w:val="000000" w:themeColor="text1"/>
                <w:sz w:val="24"/>
                <w:szCs w:val="24"/>
                <w:highlight w:val="none"/>
                <w14:textFill>
                  <w14:solidFill>
                    <w14:schemeClr w14:val="tx1"/>
                  </w14:solidFill>
                </w14:textFill>
              </w:rPr>
              <w:t>、声环境保护目标</w:t>
            </w:r>
          </w:p>
          <w:p w14:paraId="64C6B6D9">
            <w:pPr>
              <w:adjustRightInd w:val="0"/>
              <w:snapToGrid w:val="0"/>
              <w:spacing w:line="360" w:lineRule="auto"/>
              <w:ind w:firstLine="480" w:firstLineChars="200"/>
              <w:rPr>
                <w:rFonts w:ascii="Times New Roman" w:hAnsi="Times New Roman" w:eastAsia="宋体" w:cs="Times New Roman"/>
                <w:bCs/>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本项目厂界外50m范围内涉及声环境保护目标</w:t>
            </w:r>
            <w:r>
              <w:rPr>
                <w:rFonts w:ascii="Times New Roman" w:hAnsi="Times New Roman" w:eastAsia="宋体" w:cs="Times New Roman"/>
                <w:bCs/>
                <w:color w:val="000000" w:themeColor="text1"/>
                <w:sz w:val="24"/>
                <w:szCs w:val="24"/>
                <w:highlight w:val="none"/>
                <w14:textFill>
                  <w14:solidFill>
                    <w14:schemeClr w14:val="tx1"/>
                  </w14:solidFill>
                </w14:textFill>
              </w:rPr>
              <w:t>见下表。</w:t>
            </w:r>
          </w:p>
          <w:p w14:paraId="10192400">
            <w:pPr>
              <w:autoSpaceDE w:val="0"/>
              <w:autoSpaceDN w:val="0"/>
              <w:adjustRightInd w:val="0"/>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表3-</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8</w:t>
            </w:r>
            <w:r>
              <w:rPr>
                <w:rFonts w:ascii="Times New Roman" w:hAnsi="Times New Roman" w:eastAsia="宋体" w:cs="Times New Roman"/>
                <w:b/>
                <w:bCs/>
                <w:color w:val="000000" w:themeColor="text1"/>
                <w:szCs w:val="21"/>
                <w:highlight w:val="none"/>
                <w14:textFill>
                  <w14:solidFill>
                    <w14:schemeClr w14:val="tx1"/>
                  </w14:solidFill>
                </w14:textFill>
              </w:rPr>
              <w:t xml:space="preserve">      本项目声环境主要保护目标</w:t>
            </w:r>
          </w:p>
          <w:tbl>
            <w:tblPr>
              <w:tblStyle w:val="20"/>
              <w:tblW w:w="80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63"/>
              <w:gridCol w:w="1384"/>
              <w:gridCol w:w="1334"/>
              <w:gridCol w:w="1250"/>
              <w:gridCol w:w="1116"/>
              <w:gridCol w:w="934"/>
              <w:gridCol w:w="1056"/>
            </w:tblGrid>
            <w:tr w14:paraId="5FBA25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13" w:hRule="atLeast"/>
                <w:jc w:val="center"/>
              </w:trPr>
              <w:tc>
                <w:tcPr>
                  <w:tcW w:w="963" w:type="dxa"/>
                  <w:vAlign w:val="center"/>
                </w:tcPr>
                <w:p w14:paraId="6DB80E1A">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环境类别</w:t>
                  </w:r>
                </w:p>
              </w:tc>
              <w:tc>
                <w:tcPr>
                  <w:tcW w:w="1384" w:type="dxa"/>
                  <w:vAlign w:val="center"/>
                </w:tcPr>
                <w:p w14:paraId="638B7F49">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环境保护目标</w:t>
                  </w:r>
                </w:p>
              </w:tc>
              <w:tc>
                <w:tcPr>
                  <w:tcW w:w="1334" w:type="dxa"/>
                  <w:vAlign w:val="center"/>
                </w:tcPr>
                <w:p w14:paraId="2B5674BD">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方位与距离</w:t>
                  </w:r>
                </w:p>
              </w:tc>
              <w:tc>
                <w:tcPr>
                  <w:tcW w:w="2366" w:type="dxa"/>
                  <w:gridSpan w:val="2"/>
                  <w:vAlign w:val="center"/>
                </w:tcPr>
                <w:p w14:paraId="4D54E7E7">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坐标</w:t>
                  </w:r>
                </w:p>
              </w:tc>
              <w:tc>
                <w:tcPr>
                  <w:tcW w:w="934" w:type="dxa"/>
                  <w:vAlign w:val="center"/>
                </w:tcPr>
                <w:p w14:paraId="639180AF">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规模</w:t>
                  </w:r>
                </w:p>
              </w:tc>
              <w:tc>
                <w:tcPr>
                  <w:tcW w:w="1056" w:type="dxa"/>
                  <w:vAlign w:val="center"/>
                </w:tcPr>
                <w:p w14:paraId="55E8FE4B">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环境功能</w:t>
                  </w:r>
                </w:p>
              </w:tc>
            </w:tr>
            <w:tr w14:paraId="34BA9F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963" w:type="dxa"/>
                  <w:vMerge w:val="restart"/>
                  <w:vAlign w:val="center"/>
                </w:tcPr>
                <w:p w14:paraId="242130A5">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声环境</w:t>
                  </w:r>
                </w:p>
              </w:tc>
              <w:tc>
                <w:tcPr>
                  <w:tcW w:w="1384" w:type="dxa"/>
                  <w:vAlign w:val="center"/>
                </w:tcPr>
                <w:p w14:paraId="385AA7DC">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4" w:type="dxa"/>
                  <w:vAlign w:val="center"/>
                </w:tcPr>
                <w:p w14:paraId="1F295992">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5m</w:t>
                  </w:r>
                </w:p>
              </w:tc>
              <w:tc>
                <w:tcPr>
                  <w:tcW w:w="1250" w:type="dxa"/>
                  <w:vAlign w:val="center"/>
                </w:tcPr>
                <w:p w14:paraId="061FBB3A">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105°37′47.85″</w:t>
                  </w:r>
                </w:p>
              </w:tc>
              <w:tc>
                <w:tcPr>
                  <w:tcW w:w="1116" w:type="dxa"/>
                  <w:vAlign w:val="center"/>
                </w:tcPr>
                <w:p w14:paraId="6A8F867D">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30°39′27.6″</w:t>
                  </w:r>
                </w:p>
              </w:tc>
              <w:tc>
                <w:tcPr>
                  <w:tcW w:w="934" w:type="dxa"/>
                  <w:vAlign w:val="center"/>
                </w:tcPr>
                <w:p w14:paraId="7E6293DD">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约6人</w:t>
                  </w:r>
                </w:p>
              </w:tc>
              <w:tc>
                <w:tcPr>
                  <w:tcW w:w="1056" w:type="dxa"/>
                  <w:vMerge w:val="restart"/>
                  <w:vAlign w:val="center"/>
                </w:tcPr>
                <w:p w14:paraId="2824C3FC">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《声环境质量标准》（GB3096-2008）2类</w:t>
                  </w:r>
                </w:p>
              </w:tc>
            </w:tr>
            <w:tr w14:paraId="544AF8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963" w:type="dxa"/>
                  <w:vMerge w:val="continue"/>
                  <w:vAlign w:val="center"/>
                </w:tcPr>
                <w:p w14:paraId="3B308D3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384" w:type="dxa"/>
                  <w:vAlign w:val="center"/>
                </w:tcPr>
                <w:p w14:paraId="4F29DBF0">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4" w:type="dxa"/>
                  <w:vAlign w:val="center"/>
                </w:tcPr>
                <w:p w14:paraId="63F95B27">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8m</w:t>
                  </w:r>
                </w:p>
              </w:tc>
              <w:tc>
                <w:tcPr>
                  <w:tcW w:w="1250" w:type="dxa"/>
                  <w:vAlign w:val="center"/>
                </w:tcPr>
                <w:p w14:paraId="103BB6DC">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105°37′49.72″</w:t>
                  </w:r>
                </w:p>
              </w:tc>
              <w:tc>
                <w:tcPr>
                  <w:tcW w:w="1116" w:type="dxa"/>
                  <w:vAlign w:val="center"/>
                </w:tcPr>
                <w:p w14:paraId="59D5CEC3">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30°39′25.7″</w:t>
                  </w:r>
                </w:p>
              </w:tc>
              <w:tc>
                <w:tcPr>
                  <w:tcW w:w="934" w:type="dxa"/>
                  <w:vAlign w:val="center"/>
                </w:tcPr>
                <w:p w14:paraId="31056D06">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约200人</w:t>
                  </w:r>
                </w:p>
              </w:tc>
              <w:tc>
                <w:tcPr>
                  <w:tcW w:w="1056" w:type="dxa"/>
                  <w:vMerge w:val="continue"/>
                  <w:vAlign w:val="center"/>
                </w:tcPr>
                <w:p w14:paraId="43A4C384">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r>
            <w:tr w14:paraId="1ECA38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963" w:type="dxa"/>
                  <w:vMerge w:val="continue"/>
                  <w:vAlign w:val="center"/>
                </w:tcPr>
                <w:p w14:paraId="4F8009E4">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384" w:type="dxa"/>
                  <w:vAlign w:val="center"/>
                </w:tcPr>
                <w:p w14:paraId="632B807B">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偏马村居民</w:t>
                  </w:r>
                </w:p>
              </w:tc>
              <w:tc>
                <w:tcPr>
                  <w:tcW w:w="1334" w:type="dxa"/>
                  <w:vAlign w:val="center"/>
                </w:tcPr>
                <w:p w14:paraId="735069F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东北侧14m</w:t>
                  </w:r>
                </w:p>
              </w:tc>
              <w:tc>
                <w:tcPr>
                  <w:tcW w:w="1250" w:type="dxa"/>
                  <w:vAlign w:val="center"/>
                </w:tcPr>
                <w:p w14:paraId="6D501DEF">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105°37′54.63″</w:t>
                  </w:r>
                </w:p>
              </w:tc>
              <w:tc>
                <w:tcPr>
                  <w:tcW w:w="1116" w:type="dxa"/>
                  <w:vAlign w:val="center"/>
                </w:tcPr>
                <w:p w14:paraId="5800795D">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30°39′33.6″</w:t>
                  </w:r>
                </w:p>
              </w:tc>
              <w:tc>
                <w:tcPr>
                  <w:tcW w:w="934" w:type="dxa"/>
                  <w:vAlign w:val="center"/>
                </w:tcPr>
                <w:p w14:paraId="08B239DD">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约36人</w:t>
                  </w:r>
                </w:p>
              </w:tc>
              <w:tc>
                <w:tcPr>
                  <w:tcW w:w="1056" w:type="dxa"/>
                  <w:vMerge w:val="continue"/>
                  <w:vAlign w:val="center"/>
                </w:tcPr>
                <w:p w14:paraId="42009A79">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bl>
          <w:p w14:paraId="7E4074A1">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三</w:t>
            </w:r>
            <w:r>
              <w:rPr>
                <w:rFonts w:ascii="Times New Roman" w:hAnsi="Times New Roman" w:eastAsia="宋体" w:cs="Times New Roman"/>
                <w:b/>
                <w:bCs/>
                <w:color w:val="000000" w:themeColor="text1"/>
                <w:sz w:val="24"/>
                <w:szCs w:val="24"/>
                <w:highlight w:val="none"/>
                <w14:textFill>
                  <w14:solidFill>
                    <w14:schemeClr w14:val="tx1"/>
                  </w14:solidFill>
                </w14:textFill>
              </w:rPr>
              <w:t>、地下水环境保护目标</w:t>
            </w:r>
          </w:p>
          <w:p w14:paraId="57334E90">
            <w:pPr>
              <w:adjustRightInd w:val="0"/>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本项目厂界外500m范围内无地下水集中式饮用水水源和热水、矿泉水、温泉等特殊地下水资源，无地下水环境保护目标。</w:t>
            </w:r>
          </w:p>
          <w:p w14:paraId="6894EDE3">
            <w:pPr>
              <w:adjustRightInd w:val="0"/>
              <w:snapToGrid w:val="0"/>
              <w:spacing w:line="360" w:lineRule="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四</w:t>
            </w:r>
            <w:r>
              <w:rPr>
                <w:rFonts w:ascii="Times New Roman" w:hAnsi="Times New Roman" w:eastAsia="宋体" w:cs="Times New Roman"/>
                <w:b/>
                <w:bCs/>
                <w:color w:val="000000" w:themeColor="text1"/>
                <w:sz w:val="24"/>
                <w:szCs w:val="24"/>
                <w:highlight w:val="none"/>
                <w14:textFill>
                  <w14:solidFill>
                    <w14:schemeClr w14:val="tx1"/>
                  </w14:solidFill>
                </w14:textFill>
              </w:rPr>
              <w:t>、生态环境保护目标</w:t>
            </w:r>
          </w:p>
          <w:p w14:paraId="45149459">
            <w:pPr>
              <w:adjustRightInd w:val="0"/>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本项目位于</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四川省遂宁市蓬溪县大石镇偏马村一社</w:t>
            </w:r>
            <w:r>
              <w:rPr>
                <w:rFonts w:ascii="Times New Roman" w:hAnsi="Times New Roman" w:eastAsia="宋体" w:cs="Times New Roman"/>
                <w:color w:val="000000" w:themeColor="text1"/>
                <w:sz w:val="24"/>
                <w:szCs w:val="28"/>
                <w:highlight w:val="none"/>
                <w14:textFill>
                  <w14:solidFill>
                    <w14:schemeClr w14:val="tx1"/>
                  </w14:solidFill>
                </w14:textFill>
              </w:rPr>
              <w:t>，无生态环境保护目标。</w:t>
            </w:r>
          </w:p>
          <w:p w14:paraId="0258A431">
            <w:pPr>
              <w:adjustRightInd w:val="0"/>
              <w:snapToGrid w:val="0"/>
              <w:spacing w:line="360" w:lineRule="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五</w:t>
            </w:r>
            <w:r>
              <w:rPr>
                <w:rFonts w:ascii="Times New Roman" w:hAnsi="Times New Roman" w:eastAsia="宋体" w:cs="Times New Roman"/>
                <w:b/>
                <w:bCs/>
                <w:color w:val="000000" w:themeColor="text1"/>
                <w:sz w:val="24"/>
                <w:szCs w:val="24"/>
                <w:highlight w:val="none"/>
                <w14:textFill>
                  <w14:solidFill>
                    <w14:schemeClr w14:val="tx1"/>
                  </w14:solidFill>
                </w14:textFill>
              </w:rPr>
              <w:t>、地表水环境保护目标</w:t>
            </w:r>
          </w:p>
          <w:p w14:paraId="419C6F0F">
            <w:pPr>
              <w:adjustRightInd w:val="0"/>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地表水环境：保护目标为项目受纳水体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小潼河</w:t>
            </w:r>
            <w:r>
              <w:rPr>
                <w:rFonts w:ascii="Times New Roman" w:hAnsi="Times New Roman" w:eastAsia="宋体" w:cs="Times New Roman"/>
                <w:color w:val="000000" w:themeColor="text1"/>
                <w:sz w:val="24"/>
                <w:szCs w:val="24"/>
                <w:highlight w:val="none"/>
                <w14:textFill>
                  <w14:solidFill>
                    <w14:schemeClr w14:val="tx1"/>
                  </w14:solidFill>
                </w14:textFill>
              </w:rPr>
              <w:t>，目标水质为《地表水环境质量标准》（GB3838-2002）中Ⅲ类水域标准。</w:t>
            </w:r>
          </w:p>
          <w:p w14:paraId="7CCFB426">
            <w:pPr>
              <w:adjustRightInd w:val="0"/>
              <w:snapToGrid w:val="0"/>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表3-</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9</w:t>
            </w:r>
            <w:r>
              <w:rPr>
                <w:rFonts w:ascii="Times New Roman" w:hAnsi="Times New Roman" w:eastAsia="宋体" w:cs="Times New Roman"/>
                <w:b/>
                <w:color w:val="000000" w:themeColor="text1"/>
                <w:szCs w:val="21"/>
                <w:highlight w:val="none"/>
                <w14:textFill>
                  <w14:solidFill>
                    <w14:schemeClr w14:val="tx1"/>
                  </w14:solidFill>
                </w14:textFill>
              </w:rPr>
              <w:t xml:space="preserve">    地表水环境保护目标</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93"/>
              <w:gridCol w:w="1352"/>
              <w:gridCol w:w="827"/>
              <w:gridCol w:w="1516"/>
              <w:gridCol w:w="924"/>
              <w:gridCol w:w="2526"/>
            </w:tblGrid>
            <w:tr w14:paraId="3D7F69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56" w:type="pct"/>
                  <w:noWrap w:val="0"/>
                  <w:vAlign w:val="center"/>
                </w:tcPr>
                <w:p w14:paraId="56A899BC">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要素</w:t>
                  </w:r>
                </w:p>
              </w:tc>
              <w:tc>
                <w:tcPr>
                  <w:tcW w:w="840" w:type="pct"/>
                  <w:noWrap w:val="0"/>
                  <w:vAlign w:val="center"/>
                </w:tcPr>
                <w:p w14:paraId="78CC720E">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敏感点名称</w:t>
                  </w:r>
                </w:p>
              </w:tc>
              <w:tc>
                <w:tcPr>
                  <w:tcW w:w="514" w:type="pct"/>
                  <w:noWrap w:val="0"/>
                  <w:vAlign w:val="center"/>
                </w:tcPr>
                <w:p w14:paraId="2DAF8275">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方向</w:t>
                  </w:r>
                </w:p>
              </w:tc>
              <w:tc>
                <w:tcPr>
                  <w:tcW w:w="942" w:type="pct"/>
                  <w:noWrap w:val="0"/>
                  <w:vAlign w:val="center"/>
                </w:tcPr>
                <w:p w14:paraId="44CA309F">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最近距离（</w:t>
                  </w:r>
                  <w:r>
                    <w:rPr>
                      <w:rFonts w:ascii="Times New Roman" w:hAnsi="Times New Roman" w:eastAsia="宋体" w:cs="Times New Roman"/>
                      <w:b/>
                      <w:bCs/>
                      <w:color w:val="000000" w:themeColor="text1"/>
                      <w:szCs w:val="21"/>
                      <w:highlight w:val="none"/>
                      <w14:textFill>
                        <w14:solidFill>
                          <w14:schemeClr w14:val="tx1"/>
                        </w14:solidFill>
                      </w14:textFill>
                    </w:rPr>
                    <w:t>m</w:t>
                  </w:r>
                  <w:r>
                    <w:rPr>
                      <w:rFonts w:ascii="Times New Roman" w:hAnsi="Times New Roman" w:eastAsia="宋体" w:cs="Times New Roman"/>
                      <w:b/>
                      <w:color w:val="000000" w:themeColor="text1"/>
                      <w:szCs w:val="21"/>
                      <w:highlight w:val="none"/>
                      <w14:textFill>
                        <w14:solidFill>
                          <w14:schemeClr w14:val="tx1"/>
                        </w14:solidFill>
                      </w14:textFill>
                    </w:rPr>
                    <w:t>）</w:t>
                  </w:r>
                </w:p>
              </w:tc>
              <w:tc>
                <w:tcPr>
                  <w:tcW w:w="575" w:type="pct"/>
                  <w:noWrap w:val="0"/>
                  <w:vAlign w:val="center"/>
                </w:tcPr>
                <w:p w14:paraId="3E1A5D99">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备注</w:t>
                  </w:r>
                </w:p>
              </w:tc>
              <w:tc>
                <w:tcPr>
                  <w:tcW w:w="1570" w:type="pct"/>
                  <w:noWrap w:val="0"/>
                  <w:vAlign w:val="center"/>
                </w:tcPr>
                <w:p w14:paraId="6D71BACD">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执行标准</w:t>
                  </w:r>
                </w:p>
              </w:tc>
            </w:tr>
            <w:tr w14:paraId="6CBDAB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56" w:type="pct"/>
                  <w:noWrap w:val="0"/>
                  <w:vAlign w:val="center"/>
                </w:tcPr>
                <w:p w14:paraId="519B4700">
                  <w:pPr>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地表水</w:t>
                  </w:r>
                </w:p>
              </w:tc>
              <w:tc>
                <w:tcPr>
                  <w:tcW w:w="840" w:type="pct"/>
                  <w:noWrap w:val="0"/>
                  <w:vAlign w:val="center"/>
                </w:tcPr>
                <w:p w14:paraId="2D18B102">
                  <w:pPr>
                    <w:jc w:val="center"/>
                    <w:rPr>
                      <w:rFonts w:hint="eastAsia" w:ascii="Times New Roman" w:hAnsi="Times New Roman" w:eastAsia="宋体" w:cs="Times New Roman"/>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小潼河</w:t>
                  </w:r>
                </w:p>
              </w:tc>
              <w:tc>
                <w:tcPr>
                  <w:tcW w:w="514" w:type="pct"/>
                  <w:noWrap w:val="0"/>
                  <w:vAlign w:val="center"/>
                </w:tcPr>
                <w:p w14:paraId="57EE9E34">
                  <w:pPr>
                    <w:jc w:val="center"/>
                    <w:rPr>
                      <w:rFonts w:hint="eastAsia" w:ascii="Times New Roman" w:hAnsi="Times New Roman" w:eastAsia="宋体" w:cs="Times New Roman"/>
                      <w:color w:val="000000" w:themeColor="text1"/>
                      <w:szCs w:val="21"/>
                      <w:highlight w:val="none"/>
                      <w:lang w:eastAsia="zh-CN"/>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西</w:t>
                  </w: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南</w:t>
                  </w:r>
                </w:p>
              </w:tc>
              <w:tc>
                <w:tcPr>
                  <w:tcW w:w="942" w:type="pct"/>
                  <w:noWrap w:val="0"/>
                  <w:vAlign w:val="center"/>
                </w:tcPr>
                <w:p w14:paraId="5D693B49">
                  <w:pPr>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203</w:t>
                  </w:r>
                </w:p>
              </w:tc>
              <w:tc>
                <w:tcPr>
                  <w:tcW w:w="575" w:type="pct"/>
                  <w:noWrap w:val="0"/>
                  <w:vAlign w:val="center"/>
                </w:tcPr>
                <w:p w14:paraId="69E85BD8">
                  <w:pPr>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受纳水体</w:t>
                  </w:r>
                </w:p>
              </w:tc>
              <w:tc>
                <w:tcPr>
                  <w:tcW w:w="1570" w:type="pct"/>
                  <w:noWrap w:val="0"/>
                  <w:vAlign w:val="center"/>
                </w:tcPr>
                <w:p w14:paraId="28DD75E0">
                  <w:pPr>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GB3838-2002《地表水环境质量标准》Ⅲ类标准</w:t>
                  </w:r>
                </w:p>
              </w:tc>
            </w:tr>
          </w:tbl>
          <w:p w14:paraId="3FC85FF1">
            <w:pPr>
              <w:spacing w:line="500" w:lineRule="exact"/>
              <w:rPr>
                <w:rFonts w:ascii="Times New Roman" w:hAnsi="Times New Roman" w:eastAsia="宋体"/>
                <w:color w:val="000000" w:themeColor="text1"/>
                <w:sz w:val="24"/>
                <w:szCs w:val="21"/>
                <w:highlight w:val="none"/>
                <w14:textFill>
                  <w14:solidFill>
                    <w14:schemeClr w14:val="tx1"/>
                  </w14:solidFill>
                </w14:textFill>
              </w:rPr>
            </w:pPr>
          </w:p>
        </w:tc>
      </w:tr>
      <w:tr w14:paraId="349C1E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556BC1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污染物排放控制标准</w:t>
            </w:r>
          </w:p>
        </w:tc>
        <w:tc>
          <w:tcPr>
            <w:tcW w:w="4500" w:type="pct"/>
          </w:tcPr>
          <w:p w14:paraId="2AFC92B0">
            <w:pPr>
              <w:spacing w:line="500" w:lineRule="exact"/>
              <w:rPr>
                <w:rFonts w:ascii="Times New Roman" w:hAnsi="Times New Roman" w:eastAsia="宋体"/>
                <w:b/>
                <w:bCs/>
                <w:color w:val="000000" w:themeColor="text1"/>
                <w:sz w:val="24"/>
                <w:szCs w:val="21"/>
                <w:highlight w:val="none"/>
                <w14:textFill>
                  <w14:solidFill>
                    <w14:schemeClr w14:val="tx1"/>
                  </w14:solidFill>
                </w14:textFill>
              </w:rPr>
            </w:pPr>
            <w:r>
              <w:rPr>
                <w:rFonts w:hint="eastAsia" w:ascii="Times New Roman" w:hAnsi="Times New Roman" w:eastAsia="宋体"/>
                <w:b/>
                <w:bCs/>
                <w:color w:val="000000" w:themeColor="text1"/>
                <w:sz w:val="24"/>
                <w:szCs w:val="21"/>
                <w:highlight w:val="none"/>
                <w14:textFill>
                  <w14:solidFill>
                    <w14:schemeClr w14:val="tx1"/>
                  </w14:solidFill>
                </w14:textFill>
              </w:rPr>
              <w:t>一、大气污染物</w:t>
            </w:r>
          </w:p>
          <w:p w14:paraId="7596A62B">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1</w:t>
            </w:r>
            <w:r>
              <w:rPr>
                <w:rFonts w:hint="eastAsia" w:ascii="Times New Roman" w:hAnsi="Times New Roman" w:eastAsia="宋体"/>
                <w:color w:val="000000" w:themeColor="text1"/>
                <w:kern w:val="0"/>
                <w:sz w:val="24"/>
                <w:szCs w:val="24"/>
                <w:highlight w:val="none"/>
                <w14:textFill>
                  <w14:solidFill>
                    <w14:schemeClr w14:val="tx1"/>
                  </w14:solidFill>
                </w14:textFill>
              </w:rPr>
              <w:t>、施工期</w:t>
            </w:r>
          </w:p>
          <w:p w14:paraId="540547C8">
            <w:pPr>
              <w:widowControl/>
              <w:spacing w:line="360" w:lineRule="auto"/>
              <w:ind w:firstLine="480" w:firstLineChars="200"/>
              <w:jc w:val="left"/>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施工期扬尘执行《四川省施工场地扬尘排放标准》（DB51/2682-2020）不同施工阶段的标准限制。</w:t>
            </w:r>
          </w:p>
          <w:p w14:paraId="5B03C529">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表3-</w:t>
            </w:r>
            <w:r>
              <w:rPr>
                <w:rFonts w:hint="eastAsia" w:ascii="Times New Roman" w:hAnsi="Times New Roman" w:eastAsia="宋体" w:cs="Times New Roman"/>
                <w:b/>
                <w:bCs/>
                <w:color w:val="000000" w:themeColor="text1"/>
                <w:kern w:val="0"/>
                <w:szCs w:val="21"/>
                <w:highlight w:val="none"/>
                <w:lang w:val="en-US" w:eastAsia="zh-CN"/>
                <w14:textFill>
                  <w14:solidFill>
                    <w14:schemeClr w14:val="tx1"/>
                  </w14:solidFill>
                </w14:textFill>
              </w:rPr>
              <w:t>10</w:t>
            </w:r>
            <w:r>
              <w:rPr>
                <w:rFonts w:hint="default" w:ascii="Times New Roman" w:hAnsi="Times New Roman" w:eastAsia="宋体" w:cs="Times New Roman"/>
                <w:b/>
                <w:bCs/>
                <w:color w:val="000000" w:themeColor="text1"/>
                <w:kern w:val="0"/>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kern w:val="0"/>
                <w:szCs w:val="21"/>
                <w:highlight w:val="none"/>
                <w14:textFill>
                  <w14:solidFill>
                    <w14:schemeClr w14:val="tx1"/>
                  </w14:solidFill>
                </w14:textFill>
              </w:rPr>
              <w:t xml:space="preserve">   《四川省施工场地扬尘排放标准》（DB51/2682-2020）</w:t>
            </w:r>
          </w:p>
          <w:tbl>
            <w:tblPr>
              <w:tblStyle w:val="20"/>
              <w:tblW w:w="0" w:type="auto"/>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08"/>
              <w:gridCol w:w="1372"/>
              <w:gridCol w:w="1812"/>
              <w:gridCol w:w="1731"/>
              <w:gridCol w:w="1514"/>
            </w:tblGrid>
            <w:tr w14:paraId="386BBE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08" w:type="dxa"/>
                  <w:noWrap w:val="0"/>
                  <w:vAlign w:val="center"/>
                </w:tcPr>
                <w:p w14:paraId="1E3A16EF">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监测项目</w:t>
                  </w:r>
                </w:p>
              </w:tc>
              <w:tc>
                <w:tcPr>
                  <w:tcW w:w="1372" w:type="dxa"/>
                  <w:noWrap w:val="0"/>
                  <w:vAlign w:val="center"/>
                </w:tcPr>
                <w:p w14:paraId="1EF866AB">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区域</w:t>
                  </w:r>
                </w:p>
              </w:tc>
              <w:tc>
                <w:tcPr>
                  <w:tcW w:w="1812" w:type="dxa"/>
                  <w:noWrap w:val="0"/>
                  <w:vAlign w:val="center"/>
                </w:tcPr>
                <w:p w14:paraId="48A9E426">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施工阶段</w:t>
                  </w:r>
                </w:p>
              </w:tc>
              <w:tc>
                <w:tcPr>
                  <w:tcW w:w="1731" w:type="dxa"/>
                  <w:noWrap w:val="0"/>
                  <w:vAlign w:val="center"/>
                </w:tcPr>
                <w:p w14:paraId="216F70DD">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监测点排放限值</w:t>
                  </w:r>
                </w:p>
              </w:tc>
              <w:tc>
                <w:tcPr>
                  <w:tcW w:w="1514" w:type="dxa"/>
                  <w:noWrap w:val="0"/>
                  <w:vAlign w:val="center"/>
                </w:tcPr>
                <w:p w14:paraId="49ADED81">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监测时间</w:t>
                  </w:r>
                </w:p>
              </w:tc>
            </w:tr>
            <w:tr w14:paraId="277B17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08" w:type="dxa"/>
                  <w:vMerge w:val="restart"/>
                  <w:noWrap w:val="0"/>
                  <w:vAlign w:val="center"/>
                </w:tcPr>
                <w:p w14:paraId="4F16DE4A">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总悬浮颗粒物（TSP）</w:t>
                  </w:r>
                </w:p>
              </w:tc>
              <w:tc>
                <w:tcPr>
                  <w:tcW w:w="1372" w:type="dxa"/>
                  <w:vMerge w:val="restart"/>
                  <w:noWrap w:val="0"/>
                  <w:vAlign w:val="center"/>
                </w:tcPr>
                <w:p w14:paraId="3A122B9A">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0"/>
                      <w:szCs w:val="21"/>
                      <w:highlight w:val="none"/>
                      <w:lang w:eastAsia="zh-CN"/>
                      <w14:textFill>
                        <w14:solidFill>
                          <w14:schemeClr w14:val="tx1"/>
                        </w14:solidFill>
                      </w14:textFill>
                    </w:rPr>
                    <w:t>遂宁</w:t>
                  </w:r>
                  <w:r>
                    <w:rPr>
                      <w:rFonts w:hint="default" w:ascii="Times New Roman" w:hAnsi="Times New Roman" w:eastAsia="宋体" w:cs="Times New Roman"/>
                      <w:color w:val="000000" w:themeColor="text1"/>
                      <w:kern w:val="0"/>
                      <w:szCs w:val="21"/>
                      <w:highlight w:val="none"/>
                      <w14:textFill>
                        <w14:solidFill>
                          <w14:schemeClr w14:val="tx1"/>
                        </w14:solidFill>
                      </w14:textFill>
                    </w:rPr>
                    <w:t>市</w:t>
                  </w:r>
                </w:p>
              </w:tc>
              <w:tc>
                <w:tcPr>
                  <w:tcW w:w="1812" w:type="dxa"/>
                  <w:noWrap w:val="0"/>
                  <w:vAlign w:val="center"/>
                </w:tcPr>
                <w:p w14:paraId="3D56747A">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拆除工程/土方开挖/土方回填阶段</w:t>
                  </w:r>
                </w:p>
              </w:tc>
              <w:tc>
                <w:tcPr>
                  <w:tcW w:w="1731" w:type="dxa"/>
                  <w:noWrap w:val="0"/>
                  <w:vAlign w:val="center"/>
                </w:tcPr>
                <w:p w14:paraId="082B26C4">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600μg/m</w:t>
                  </w:r>
                  <w:r>
                    <w:rPr>
                      <w:rFonts w:hint="default" w:ascii="Times New Roman" w:hAnsi="Times New Roman" w:eastAsia="宋体" w:cs="Times New Roman"/>
                      <w:color w:val="000000" w:themeColor="text1"/>
                      <w:kern w:val="0"/>
                      <w:szCs w:val="21"/>
                      <w:highlight w:val="none"/>
                      <w:vertAlign w:val="superscript"/>
                      <w14:textFill>
                        <w14:solidFill>
                          <w14:schemeClr w14:val="tx1"/>
                        </w14:solidFill>
                      </w14:textFill>
                    </w:rPr>
                    <w:t>3</w:t>
                  </w:r>
                </w:p>
              </w:tc>
              <w:tc>
                <w:tcPr>
                  <w:tcW w:w="1514" w:type="dxa"/>
                  <w:vMerge w:val="restart"/>
                  <w:noWrap w:val="0"/>
                  <w:vAlign w:val="center"/>
                </w:tcPr>
                <w:p w14:paraId="30742F4D">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自监测起持续15分钟</w:t>
                  </w:r>
                </w:p>
              </w:tc>
            </w:tr>
            <w:tr w14:paraId="25AE47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08" w:type="dxa"/>
                  <w:vMerge w:val="continue"/>
                  <w:noWrap w:val="0"/>
                  <w:vAlign w:val="center"/>
                </w:tcPr>
                <w:p w14:paraId="3CC91B44">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p>
              </w:tc>
              <w:tc>
                <w:tcPr>
                  <w:tcW w:w="1372" w:type="dxa"/>
                  <w:vMerge w:val="continue"/>
                  <w:noWrap w:val="0"/>
                  <w:vAlign w:val="center"/>
                </w:tcPr>
                <w:p w14:paraId="03BDBDBB">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p>
              </w:tc>
              <w:tc>
                <w:tcPr>
                  <w:tcW w:w="1812" w:type="dxa"/>
                  <w:noWrap w:val="0"/>
                  <w:vAlign w:val="center"/>
                </w:tcPr>
                <w:p w14:paraId="206C860D">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其他工程阶段</w:t>
                  </w:r>
                </w:p>
              </w:tc>
              <w:tc>
                <w:tcPr>
                  <w:tcW w:w="1731" w:type="dxa"/>
                  <w:noWrap w:val="0"/>
                  <w:vAlign w:val="center"/>
                </w:tcPr>
                <w:p w14:paraId="199987BF">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250μg/m</w:t>
                  </w:r>
                  <w:r>
                    <w:rPr>
                      <w:rFonts w:hint="default" w:ascii="Times New Roman" w:hAnsi="Times New Roman" w:eastAsia="宋体" w:cs="Times New Roman"/>
                      <w:color w:val="000000" w:themeColor="text1"/>
                      <w:kern w:val="0"/>
                      <w:szCs w:val="21"/>
                      <w:highlight w:val="none"/>
                      <w:vertAlign w:val="superscript"/>
                      <w14:textFill>
                        <w14:solidFill>
                          <w14:schemeClr w14:val="tx1"/>
                        </w14:solidFill>
                      </w14:textFill>
                    </w:rPr>
                    <w:t>3</w:t>
                  </w:r>
                </w:p>
              </w:tc>
              <w:tc>
                <w:tcPr>
                  <w:tcW w:w="1514" w:type="dxa"/>
                  <w:vMerge w:val="continue"/>
                  <w:noWrap w:val="0"/>
                  <w:vAlign w:val="center"/>
                </w:tcPr>
                <w:p w14:paraId="20AC59B8">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p>
              </w:tc>
            </w:tr>
          </w:tbl>
          <w:p w14:paraId="438B9B7A">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2、运营期</w:t>
            </w:r>
          </w:p>
          <w:p w14:paraId="277A3AF0">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1</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颗粒物排放执行</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四川省水泥工业大气污染物排放标准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（DB51 2864 -2021）中大气污染物</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排放限值</w:t>
            </w:r>
            <w:r>
              <w:rPr>
                <w:rFonts w:hint="eastAsia" w:ascii="Times New Roman" w:hAnsi="Times New Roman" w:eastAsia="宋体"/>
                <w:color w:val="000000" w:themeColor="text1"/>
                <w:kern w:val="0"/>
                <w:sz w:val="24"/>
                <w:szCs w:val="24"/>
                <w:highlight w:val="none"/>
                <w14:textFill>
                  <w14:solidFill>
                    <w14:schemeClr w14:val="tx1"/>
                  </w14:solidFill>
                </w14:textFill>
              </w:rPr>
              <w:t>。</w:t>
            </w:r>
          </w:p>
          <w:p w14:paraId="70F673A2">
            <w:pPr>
              <w:pStyle w:val="29"/>
              <w:spacing w:line="360" w:lineRule="atLeast"/>
              <w:ind w:firstLine="422" w:firstLineChars="200"/>
              <w:rPr>
                <w:rFonts w:ascii="Times New Roman" w:hAnsi="Times New Roman" w:eastAsia="宋体" w:cs="Times New Roman"/>
                <w:b/>
                <w:bCs/>
                <w:color w:val="000000" w:themeColor="text1"/>
                <w:sz w:val="21"/>
                <w:szCs w:val="21"/>
                <w:highlight w:val="none"/>
                <w14:textFill>
                  <w14:solidFill>
                    <w14:schemeClr w14:val="tx1"/>
                  </w14:solidFill>
                </w14:textFill>
              </w:rPr>
            </w:pPr>
            <w:r>
              <w:rPr>
                <w:rFonts w:ascii="Times New Roman" w:hAnsi="Times New Roman" w:eastAsia="宋体" w:cs="Times New Roman"/>
                <w:b/>
                <w:bCs/>
                <w:color w:val="000000" w:themeColor="text1"/>
                <w:sz w:val="21"/>
                <w:szCs w:val="21"/>
                <w:highlight w:val="none"/>
                <w14:textFill>
                  <w14:solidFill>
                    <w14:schemeClr w14:val="tx1"/>
                  </w14:solidFill>
                </w14:textFill>
              </w:rPr>
              <w:t>表3-</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11</w:t>
            </w:r>
            <w:r>
              <w:rPr>
                <w:rFonts w:hint="eastAsia" w:ascii="Times New Roman" w:hAnsi="Times New Roman" w:eastAsia="宋体" w:cs="Times New Roman"/>
                <w:b/>
                <w:bCs/>
                <w:color w:val="000000" w:themeColor="text1"/>
                <w:sz w:val="21"/>
                <w:szCs w:val="21"/>
                <w:highlight w:val="none"/>
                <w14:textFill>
                  <w14:solidFill>
                    <w14:schemeClr w14:val="tx1"/>
                  </w14:solidFill>
                </w14:textFill>
              </w:rPr>
              <w:t xml:space="preserve">      </w:t>
            </w:r>
            <w:r>
              <w:rPr>
                <w:rFonts w:ascii="Times New Roman" w:hAnsi="Times New Roman" w:eastAsia="宋体" w:cs="Times New Roman"/>
                <w:b/>
                <w:bCs/>
                <w:color w:val="000000" w:themeColor="text1"/>
                <w:sz w:val="21"/>
                <w:szCs w:val="21"/>
                <w:highlight w:val="none"/>
                <w14:textFill>
                  <w14:solidFill>
                    <w14:schemeClr w14:val="tx1"/>
                  </w14:solidFill>
                </w14:textFill>
              </w:rPr>
              <w:t xml:space="preserve"> </w:t>
            </w:r>
            <w:r>
              <w:rPr>
                <w:rFonts w:hint="eastAsia" w:ascii="Times New Roman" w:hAnsi="Times New Roman" w:eastAsia="宋体" w:cs="Times New Roman"/>
                <w:b/>
                <w:bCs/>
                <w:color w:val="000000" w:themeColor="text1"/>
                <w:sz w:val="21"/>
                <w:szCs w:val="21"/>
                <w:highlight w:val="none"/>
                <w14:textFill>
                  <w14:solidFill>
                    <w14:schemeClr w14:val="tx1"/>
                  </w14:solidFill>
                </w14:textFill>
              </w:rPr>
              <w:t>《四川省水泥工业大气污染物排放标准》（DB51 2864 -2021）</w:t>
            </w:r>
            <w:r>
              <w:rPr>
                <w:rFonts w:ascii="Times New Roman" w:hAnsi="Times New Roman" w:eastAsia="宋体" w:cs="Times New Roman"/>
                <w:b/>
                <w:bCs/>
                <w:color w:val="000000" w:themeColor="text1"/>
                <w:sz w:val="21"/>
                <w:szCs w:val="21"/>
                <w:highlight w:val="none"/>
                <w14:textFill>
                  <w14:solidFill>
                    <w14:schemeClr w14:val="tx1"/>
                  </w14:solidFill>
                </w14:textFill>
              </w:rPr>
              <w:t>（摘录）</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74"/>
              <w:gridCol w:w="58"/>
              <w:gridCol w:w="1616"/>
              <w:gridCol w:w="1467"/>
              <w:gridCol w:w="2100"/>
              <w:gridCol w:w="1123"/>
            </w:tblGrid>
            <w:tr w14:paraId="155645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77" w:type="pct"/>
                  <w:gridSpan w:val="2"/>
                  <w:tcBorders>
                    <w:tl2br w:val="nil"/>
                    <w:tr2bl w:val="nil"/>
                  </w:tcBorders>
                  <w:vAlign w:val="center"/>
                </w:tcPr>
                <w:p w14:paraId="795E80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生产过程</w:t>
                  </w:r>
                </w:p>
              </w:tc>
              <w:tc>
                <w:tcPr>
                  <w:tcW w:w="1005" w:type="pct"/>
                  <w:tcBorders>
                    <w:tl2br w:val="nil"/>
                    <w:tr2bl w:val="nil"/>
                  </w:tcBorders>
                  <w:vAlign w:val="center"/>
                </w:tcPr>
                <w:p w14:paraId="1563C1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生产设备</w:t>
                  </w:r>
                </w:p>
              </w:tc>
              <w:tc>
                <w:tcPr>
                  <w:tcW w:w="912" w:type="pct"/>
                  <w:tcBorders>
                    <w:tl2br w:val="nil"/>
                    <w:tr2bl w:val="nil"/>
                  </w:tcBorders>
                  <w:vAlign w:val="center"/>
                </w:tcPr>
                <w:p w14:paraId="7EF162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区域</w:t>
                  </w:r>
                </w:p>
              </w:tc>
              <w:tc>
                <w:tcPr>
                  <w:tcW w:w="2004" w:type="pct"/>
                  <w:gridSpan w:val="2"/>
                  <w:tcBorders>
                    <w:tl2br w:val="nil"/>
                    <w:tr2bl w:val="nil"/>
                  </w:tcBorders>
                  <w:vAlign w:val="center"/>
                </w:tcPr>
                <w:p w14:paraId="3C6C8D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大气污染物排放限值</w:t>
                  </w:r>
                </w:p>
              </w:tc>
            </w:tr>
            <w:tr w14:paraId="36C41B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77" w:type="pct"/>
                  <w:gridSpan w:val="2"/>
                  <w:tcBorders>
                    <w:tl2br w:val="nil"/>
                    <w:tr2bl w:val="nil"/>
                  </w:tcBorders>
                  <w:vAlign w:val="center"/>
                </w:tcPr>
                <w:p w14:paraId="6BF174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散装水泥中转站及水泥制品生产</w:t>
                  </w:r>
                </w:p>
              </w:tc>
              <w:tc>
                <w:tcPr>
                  <w:tcW w:w="1005" w:type="pct"/>
                  <w:tcBorders>
                    <w:tl2br w:val="nil"/>
                    <w:tr2bl w:val="nil"/>
                  </w:tcBorders>
                  <w:vAlign w:val="center"/>
                </w:tcPr>
                <w:p w14:paraId="2EAE428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水泥仓及其他通风生产设备</w:t>
                  </w:r>
                </w:p>
              </w:tc>
              <w:tc>
                <w:tcPr>
                  <w:tcW w:w="912" w:type="pct"/>
                  <w:tcBorders>
                    <w:tl2br w:val="nil"/>
                    <w:tr2bl w:val="nil"/>
                  </w:tcBorders>
                  <w:vAlign w:val="center"/>
                </w:tcPr>
                <w:p w14:paraId="009368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四川省全域</w:t>
                  </w:r>
                </w:p>
              </w:tc>
              <w:tc>
                <w:tcPr>
                  <w:tcW w:w="1306" w:type="pct"/>
                  <w:tcBorders>
                    <w:tl2br w:val="nil"/>
                    <w:tr2bl w:val="nil"/>
                  </w:tcBorders>
                  <w:vAlign w:val="center"/>
                </w:tcPr>
                <w:p w14:paraId="7E8727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颗粒物</w:t>
                  </w:r>
                </w:p>
              </w:tc>
              <w:tc>
                <w:tcPr>
                  <w:tcW w:w="698" w:type="pct"/>
                  <w:tcBorders>
                    <w:tl2br w:val="nil"/>
                    <w:tr2bl w:val="nil"/>
                  </w:tcBorders>
                  <w:vAlign w:val="center"/>
                </w:tcPr>
                <w:p w14:paraId="09CB8F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10</w:t>
                  </w:r>
                  <w:r>
                    <w:rPr>
                      <w:rFonts w:ascii="Times New Roman" w:hAnsi="Times New Roman" w:eastAsia="宋体"/>
                      <w:b w:val="0"/>
                      <w:bCs w:val="0"/>
                      <w:color w:val="000000" w:themeColor="text1"/>
                      <w:szCs w:val="21"/>
                      <w:highlight w:val="none"/>
                      <w14:textFill>
                        <w14:solidFill>
                          <w14:schemeClr w14:val="tx1"/>
                        </w14:solidFill>
                      </w14:textFill>
                    </w:rPr>
                    <w:t>mg/m</w:t>
                  </w:r>
                  <w:r>
                    <w:rPr>
                      <w:rFonts w:hint="eastAsia" w:ascii="Times New Roman" w:hAnsi="Times New Roman" w:eastAsia="宋体"/>
                      <w:b w:val="0"/>
                      <w:bCs w:val="0"/>
                      <w:color w:val="000000" w:themeColor="text1"/>
                      <w:szCs w:val="21"/>
                      <w:highlight w:val="none"/>
                      <w:vertAlign w:val="superscript"/>
                      <w14:textFill>
                        <w14:solidFill>
                          <w14:schemeClr w14:val="tx1"/>
                        </w14:solidFill>
                      </w14:textFill>
                    </w:rPr>
                    <w:t>3</w:t>
                  </w:r>
                </w:p>
              </w:tc>
            </w:tr>
            <w:tr w14:paraId="24778C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82" w:type="pct"/>
                  <w:gridSpan w:val="3"/>
                  <w:tcBorders>
                    <w:tl2br w:val="nil"/>
                    <w:tr2bl w:val="nil"/>
                  </w:tcBorders>
                  <w:vAlign w:val="center"/>
                </w:tcPr>
                <w:p w14:paraId="6E22A8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污染物项目</w:t>
                  </w:r>
                </w:p>
              </w:tc>
              <w:tc>
                <w:tcPr>
                  <w:tcW w:w="912" w:type="pct"/>
                  <w:tcBorders>
                    <w:tl2br w:val="nil"/>
                    <w:tr2bl w:val="nil"/>
                  </w:tcBorders>
                  <w:vAlign w:val="center"/>
                </w:tcPr>
                <w:p w14:paraId="1BFFE6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区域</w:t>
                  </w:r>
                </w:p>
              </w:tc>
              <w:tc>
                <w:tcPr>
                  <w:tcW w:w="2004" w:type="pct"/>
                  <w:gridSpan w:val="2"/>
                  <w:tcBorders>
                    <w:tl2br w:val="nil"/>
                    <w:tr2bl w:val="nil"/>
                  </w:tcBorders>
                  <w:vAlign w:val="center"/>
                </w:tcPr>
                <w:p w14:paraId="4B35B7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企业边界大气污染物浓度限值</w:t>
                  </w:r>
                </w:p>
              </w:tc>
            </w:tr>
            <w:tr w14:paraId="160F31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82" w:type="pct"/>
                  <w:gridSpan w:val="3"/>
                  <w:tcBorders>
                    <w:tl2br w:val="nil"/>
                    <w:tr2bl w:val="nil"/>
                  </w:tcBorders>
                  <w:vAlign w:val="center"/>
                </w:tcPr>
                <w:p w14:paraId="0D73CC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颗粒物</w:t>
                  </w:r>
                </w:p>
              </w:tc>
              <w:tc>
                <w:tcPr>
                  <w:tcW w:w="912" w:type="pct"/>
                  <w:tcBorders>
                    <w:tl2br w:val="nil"/>
                    <w:tr2bl w:val="nil"/>
                  </w:tcBorders>
                  <w:vAlign w:val="center"/>
                </w:tcPr>
                <w:p w14:paraId="030568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遂宁市</w:t>
                  </w:r>
                </w:p>
              </w:tc>
              <w:tc>
                <w:tcPr>
                  <w:tcW w:w="2004" w:type="pct"/>
                  <w:gridSpan w:val="2"/>
                  <w:tcBorders>
                    <w:tl2br w:val="nil"/>
                    <w:tr2bl w:val="nil"/>
                  </w:tcBorders>
                  <w:vAlign w:val="center"/>
                </w:tcPr>
                <w:p w14:paraId="551C1A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0.3</w:t>
                  </w:r>
                  <w:r>
                    <w:rPr>
                      <w:rFonts w:ascii="Times New Roman" w:hAnsi="Times New Roman" w:eastAsia="宋体"/>
                      <w:b w:val="0"/>
                      <w:bCs w:val="0"/>
                      <w:color w:val="000000" w:themeColor="text1"/>
                      <w:szCs w:val="21"/>
                      <w:highlight w:val="none"/>
                      <w14:textFill>
                        <w14:solidFill>
                          <w14:schemeClr w14:val="tx1"/>
                        </w14:solidFill>
                      </w14:textFill>
                    </w:rPr>
                    <w:t>mg/m</w:t>
                  </w:r>
                  <w:r>
                    <w:rPr>
                      <w:rFonts w:hint="eastAsia" w:ascii="Times New Roman" w:hAnsi="Times New Roman" w:eastAsia="宋体"/>
                      <w:b w:val="0"/>
                      <w:bCs w:val="0"/>
                      <w:color w:val="000000" w:themeColor="text1"/>
                      <w:szCs w:val="21"/>
                      <w:highlight w:val="none"/>
                      <w:vertAlign w:val="superscript"/>
                      <w14:textFill>
                        <w14:solidFill>
                          <w14:schemeClr w14:val="tx1"/>
                        </w14:solidFill>
                      </w14:textFill>
                    </w:rPr>
                    <w:t>3</w:t>
                  </w:r>
                </w:p>
              </w:tc>
            </w:tr>
            <w:tr w14:paraId="529BAC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41" w:type="pct"/>
                  <w:tcBorders>
                    <w:tl2br w:val="nil"/>
                    <w:tr2bl w:val="nil"/>
                  </w:tcBorders>
                  <w:vAlign w:val="center"/>
                </w:tcPr>
                <w:p w14:paraId="110A1C2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污染物项目</w:t>
                  </w:r>
                </w:p>
              </w:tc>
              <w:tc>
                <w:tcPr>
                  <w:tcW w:w="1041" w:type="pct"/>
                  <w:gridSpan w:val="2"/>
                  <w:tcBorders>
                    <w:tl2br w:val="nil"/>
                    <w:tr2bl w:val="nil"/>
                  </w:tcBorders>
                  <w:vAlign w:val="center"/>
                </w:tcPr>
                <w:p w14:paraId="456B3F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无组织排放监控位置</w:t>
                  </w:r>
                </w:p>
              </w:tc>
              <w:tc>
                <w:tcPr>
                  <w:tcW w:w="912" w:type="pct"/>
                  <w:tcBorders>
                    <w:tl2br w:val="nil"/>
                    <w:tr2bl w:val="nil"/>
                  </w:tcBorders>
                  <w:vAlign w:val="center"/>
                </w:tcPr>
                <w:p w14:paraId="77774AB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限值含义</w:t>
                  </w:r>
                </w:p>
              </w:tc>
              <w:tc>
                <w:tcPr>
                  <w:tcW w:w="2004" w:type="pct"/>
                  <w:gridSpan w:val="2"/>
                  <w:tcBorders>
                    <w:tl2br w:val="nil"/>
                    <w:tr2bl w:val="nil"/>
                  </w:tcBorders>
                  <w:vAlign w:val="center"/>
                </w:tcPr>
                <w:p w14:paraId="2C3F1B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val="en-US" w:eastAsia="zh-CN"/>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14:textFill>
                        <w14:solidFill>
                          <w14:schemeClr w14:val="tx1"/>
                        </w14:solidFill>
                      </w14:textFill>
                    </w:rPr>
                    <w:t>厂区内颗粒物无组织排放限值</w:t>
                  </w:r>
                </w:p>
              </w:tc>
            </w:tr>
            <w:tr w14:paraId="6B8434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41" w:type="pct"/>
                  <w:tcBorders>
                    <w:tl2br w:val="nil"/>
                    <w:tr2bl w:val="nil"/>
                  </w:tcBorders>
                  <w:vAlign w:val="center"/>
                </w:tcPr>
                <w:p w14:paraId="4CDA6F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颗粒物</w:t>
                  </w:r>
                </w:p>
              </w:tc>
              <w:tc>
                <w:tcPr>
                  <w:tcW w:w="1041" w:type="pct"/>
                  <w:gridSpan w:val="2"/>
                  <w:tcBorders>
                    <w:tl2br w:val="nil"/>
                    <w:tr2bl w:val="nil"/>
                  </w:tcBorders>
                  <w:vAlign w:val="center"/>
                </w:tcPr>
                <w:p w14:paraId="57BE429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在厂房外设置监控点</w:t>
                  </w:r>
                </w:p>
              </w:tc>
              <w:tc>
                <w:tcPr>
                  <w:tcW w:w="912" w:type="pct"/>
                  <w:tcBorders>
                    <w:tl2br w:val="nil"/>
                    <w:tr2bl w:val="nil"/>
                  </w:tcBorders>
                  <w:vAlign w:val="center"/>
                </w:tcPr>
                <w:p w14:paraId="58FDF1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监控点处1h平均浓度值</w:t>
                  </w:r>
                </w:p>
              </w:tc>
              <w:tc>
                <w:tcPr>
                  <w:tcW w:w="2004" w:type="pct"/>
                  <w:gridSpan w:val="2"/>
                  <w:tcBorders>
                    <w:tl2br w:val="nil"/>
                    <w:tr2bl w:val="nil"/>
                  </w:tcBorders>
                  <w:vAlign w:val="center"/>
                </w:tcPr>
                <w:p w14:paraId="6C7D8E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w:t>
                  </w:r>
                </w:p>
              </w:tc>
            </w:tr>
          </w:tbl>
          <w:p w14:paraId="65245474">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right="0" w:firstLine="480" w:firstLineChars="200"/>
              <w:jc w:val="both"/>
              <w:textAlignment w:val="auto"/>
              <w:rPr>
                <w:rFonts w:hint="default" w:ascii="Times New Roman" w:hAnsi="Times New Roman" w:eastAsia="宋体" w:cs="Times New Roman"/>
                <w:b/>
                <w:bCs/>
                <w:color w:val="000000" w:themeColor="text1"/>
                <w:kern w:val="0"/>
                <w:sz w:val="24"/>
                <w:szCs w:val="22"/>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4"/>
                <w:szCs w:val="22"/>
                <w:highlight w:val="none"/>
                <w:lang w:val="en-US" w:eastAsia="zh-CN" w:bidi="ar-SA"/>
                <w14:textFill>
                  <w14:solidFill>
                    <w14:schemeClr w14:val="tx1"/>
                  </w14:solidFill>
                </w14:textFill>
              </w:rPr>
              <w:t>（2）</w:t>
            </w:r>
            <w:r>
              <w:rPr>
                <w:rFonts w:hint="default" w:ascii="Times New Roman" w:hAnsi="Times New Roman" w:eastAsia="宋体" w:cs="Times New Roman"/>
                <w:b w:val="0"/>
                <w:bCs w:val="0"/>
                <w:color w:val="000000" w:themeColor="text1"/>
                <w:kern w:val="0"/>
                <w:sz w:val="24"/>
                <w:szCs w:val="22"/>
                <w:highlight w:val="none"/>
                <w:lang w:val="en-US" w:eastAsia="zh-CN" w:bidi="ar-SA"/>
                <w14:textFill>
                  <w14:solidFill>
                    <w14:schemeClr w14:val="tx1"/>
                  </w14:solidFill>
                </w14:textFill>
              </w:rPr>
              <w:t>食堂油烟执行</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《饮食业油烟排放标准（试行）》（GB18483-2001）中标准限值要求。</w:t>
            </w:r>
          </w:p>
          <w:p w14:paraId="3292E0C0">
            <w:pPr>
              <w:autoSpaceDE w:val="0"/>
              <w:autoSpaceDN w:val="0"/>
              <w:adjustRightInd w:val="0"/>
              <w:snapToGrid w:val="0"/>
              <w:spacing w:line="240" w:lineRule="auto"/>
              <w:ind w:firstLine="0" w:firstLineChars="0"/>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 xml:space="preserve">3-12    </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饮食业油烟排放标准 （mg/m</w:t>
            </w:r>
            <w:r>
              <w:rPr>
                <w:rFonts w:hint="default" w:ascii="Times New Roman" w:hAnsi="Times New Roman" w:eastAsia="宋体" w:cs="Times New Roman"/>
                <w:b/>
                <w:color w:val="000000" w:themeColor="text1"/>
                <w:kern w:val="0"/>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504"/>
              <w:gridCol w:w="1845"/>
              <w:gridCol w:w="1845"/>
              <w:gridCol w:w="1846"/>
            </w:tblGrid>
            <w:tr w14:paraId="42D705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475" w:type="dxa"/>
                  <w:noWrap w:val="0"/>
                  <w:vAlign w:val="center"/>
                </w:tcPr>
                <w:p w14:paraId="6B5B02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5" w:name="_Toc5216"/>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规模</w:t>
                  </w:r>
                  <w:bookmarkEnd w:id="5"/>
                </w:p>
              </w:tc>
              <w:tc>
                <w:tcPr>
                  <w:tcW w:w="1824" w:type="dxa"/>
                  <w:noWrap w:val="0"/>
                  <w:vAlign w:val="center"/>
                </w:tcPr>
                <w:p w14:paraId="1F0677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6" w:name="_Toc25739"/>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小型</w:t>
                  </w:r>
                  <w:bookmarkEnd w:id="6"/>
                </w:p>
              </w:tc>
              <w:tc>
                <w:tcPr>
                  <w:tcW w:w="1824" w:type="dxa"/>
                  <w:noWrap w:val="0"/>
                  <w:vAlign w:val="center"/>
                </w:tcPr>
                <w:p w14:paraId="51B738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7" w:name="_Toc7990"/>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中型</w:t>
                  </w:r>
                  <w:bookmarkEnd w:id="7"/>
                </w:p>
              </w:tc>
              <w:tc>
                <w:tcPr>
                  <w:tcW w:w="1824" w:type="dxa"/>
                  <w:noWrap w:val="0"/>
                  <w:vAlign w:val="center"/>
                </w:tcPr>
                <w:p w14:paraId="384732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8" w:name="_Toc19618"/>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大型</w:t>
                  </w:r>
                  <w:bookmarkEnd w:id="8"/>
                </w:p>
              </w:tc>
            </w:tr>
            <w:tr w14:paraId="619C89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475" w:type="dxa"/>
                  <w:noWrap w:val="0"/>
                  <w:vAlign w:val="center"/>
                </w:tcPr>
                <w:p w14:paraId="6C5398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9" w:name="_Toc20289"/>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最高允许排放浓度</w:t>
                  </w:r>
                  <w:bookmarkEnd w:id="9"/>
                </w:p>
              </w:tc>
              <w:tc>
                <w:tcPr>
                  <w:tcW w:w="5472" w:type="dxa"/>
                  <w:gridSpan w:val="3"/>
                  <w:noWrap w:val="0"/>
                  <w:vAlign w:val="center"/>
                </w:tcPr>
                <w:p w14:paraId="7CFD03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0" w:name="_Toc32046"/>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w:t>
                  </w:r>
                  <w:bookmarkEnd w:id="10"/>
                </w:p>
              </w:tc>
            </w:tr>
            <w:tr w14:paraId="7AB57B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475" w:type="dxa"/>
                  <w:noWrap w:val="0"/>
                  <w:vAlign w:val="center"/>
                </w:tcPr>
                <w:p w14:paraId="0159A4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1" w:name="_Toc3776"/>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净化设施最低去除效率</w:t>
                  </w:r>
                  <w:bookmarkEnd w:id="11"/>
                </w:p>
              </w:tc>
              <w:tc>
                <w:tcPr>
                  <w:tcW w:w="1824" w:type="dxa"/>
                  <w:noWrap w:val="0"/>
                  <w:vAlign w:val="center"/>
                </w:tcPr>
                <w:p w14:paraId="6C7E03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2" w:name="_Toc4588"/>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60%</w:t>
                  </w:r>
                  <w:bookmarkEnd w:id="12"/>
                </w:p>
              </w:tc>
              <w:tc>
                <w:tcPr>
                  <w:tcW w:w="1824" w:type="dxa"/>
                  <w:noWrap w:val="0"/>
                  <w:vAlign w:val="center"/>
                </w:tcPr>
                <w:p w14:paraId="3F2FBF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3" w:name="_Toc751"/>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75%</w:t>
                  </w:r>
                  <w:bookmarkEnd w:id="13"/>
                </w:p>
              </w:tc>
              <w:tc>
                <w:tcPr>
                  <w:tcW w:w="1824" w:type="dxa"/>
                  <w:noWrap w:val="0"/>
                  <w:vAlign w:val="center"/>
                </w:tcPr>
                <w:p w14:paraId="39B6B2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4" w:name="_Toc6593"/>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85%</w:t>
                  </w:r>
                  <w:bookmarkEnd w:id="14"/>
                </w:p>
              </w:tc>
            </w:tr>
          </w:tbl>
          <w:p w14:paraId="215E90CB">
            <w:pPr>
              <w:spacing w:line="500" w:lineRule="exact"/>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二、水污染物</w:t>
            </w:r>
          </w:p>
          <w:p w14:paraId="54013E84">
            <w:pPr>
              <w:spacing w:line="360" w:lineRule="auto"/>
              <w:ind w:firstLine="482"/>
              <w:rPr>
                <w:rFonts w:ascii="Times New Roman" w:hAnsi="Times New Roman" w:eastAsia="宋体" w:cs="Times New Roman"/>
                <w:b/>
                <w:color w:val="000000" w:themeColor="text1"/>
                <w:kern w:val="0"/>
                <w:sz w:val="24"/>
                <w:szCs w:val="22"/>
                <w:highlight w:val="none"/>
                <w14:textFill>
                  <w14:solidFill>
                    <w14:schemeClr w14:val="tx1"/>
                  </w14:solidFill>
                </w14:textFill>
              </w:rPr>
            </w:pPr>
            <w:r>
              <w:rPr>
                <w:rFonts w:hint="eastAsia" w:ascii="Times New Roman" w:hAnsi="Times New Roman" w:eastAsia="宋体" w:cs="Times New Roman"/>
                <w:color w:val="000000" w:themeColor="text1"/>
                <w:kern w:val="0"/>
                <w:sz w:val="24"/>
                <w:szCs w:val="22"/>
                <w:highlight w:val="none"/>
                <w14:textFill>
                  <w14:solidFill>
                    <w14:schemeClr w14:val="tx1"/>
                  </w14:solidFill>
                </w14:textFill>
              </w:rPr>
              <w:t>本项目</w:t>
            </w:r>
            <w:r>
              <w:rPr>
                <w:rFonts w:hint="eastAsia" w:ascii="Times New Roman" w:hAnsi="Times New Roman" w:eastAsia="宋体" w:cs="Times New Roman"/>
                <w:color w:val="000000" w:themeColor="text1"/>
                <w:kern w:val="0"/>
                <w:sz w:val="24"/>
                <w:szCs w:val="22"/>
                <w:highlight w:val="none"/>
                <w:lang w:eastAsia="zh-CN"/>
                <w14:textFill>
                  <w14:solidFill>
                    <w14:schemeClr w14:val="tx1"/>
                  </w14:solidFill>
                </w14:textFill>
              </w:rPr>
              <w:t>生活污水由吸污车清运至蓬溪县宝梵污水处理厂，</w:t>
            </w:r>
            <w:r>
              <w:rPr>
                <w:rFonts w:ascii="Times New Roman" w:hAnsi="Times New Roman" w:eastAsia="宋体" w:cs="Times New Roman"/>
                <w:color w:val="000000" w:themeColor="text1"/>
                <w:kern w:val="0"/>
                <w:sz w:val="24"/>
                <w:szCs w:val="22"/>
                <w:highlight w:val="none"/>
                <w14:textFill>
                  <w14:solidFill>
                    <w14:schemeClr w14:val="tx1"/>
                  </w14:solidFill>
                </w14:textFill>
              </w:rPr>
              <w:t>执行《污水综合排放标准》（GB8978-1996）中的三级标准，相关的污染物排放限值见表</w:t>
            </w:r>
            <w:r>
              <w:rPr>
                <w:rFonts w:hint="eastAsia" w:ascii="Times New Roman" w:hAnsi="Times New Roman" w:eastAsia="宋体" w:cs="Times New Roman"/>
                <w:color w:val="000000" w:themeColor="text1"/>
                <w:kern w:val="0"/>
                <w:sz w:val="24"/>
                <w:szCs w:val="22"/>
                <w:highlight w:val="none"/>
                <w14:textFill>
                  <w14:solidFill>
                    <w14:schemeClr w14:val="tx1"/>
                  </w14:solidFill>
                </w14:textFill>
              </w:rPr>
              <w:t>3-</w:t>
            </w:r>
            <w:r>
              <w:rPr>
                <w:rFonts w:hint="eastAsia" w:ascii="Times New Roman" w:hAnsi="Times New Roman" w:eastAsia="宋体" w:cs="Times New Roman"/>
                <w:color w:val="000000" w:themeColor="text1"/>
                <w:kern w:val="0"/>
                <w:sz w:val="24"/>
                <w:szCs w:val="22"/>
                <w:highlight w:val="none"/>
                <w:lang w:val="en-US" w:eastAsia="zh-CN"/>
                <w14:textFill>
                  <w14:solidFill>
                    <w14:schemeClr w14:val="tx1"/>
                  </w14:solidFill>
                </w14:textFill>
              </w:rPr>
              <w:t>13</w:t>
            </w:r>
            <w:r>
              <w:rPr>
                <w:rFonts w:ascii="Times New Roman" w:hAnsi="Times New Roman" w:eastAsia="宋体" w:cs="Times New Roman"/>
                <w:color w:val="000000" w:themeColor="text1"/>
                <w:kern w:val="0"/>
                <w:sz w:val="24"/>
                <w:szCs w:val="22"/>
                <w:highlight w:val="none"/>
                <w14:textFill>
                  <w14:solidFill>
                    <w14:schemeClr w14:val="tx1"/>
                  </w14:solidFill>
                </w14:textFill>
              </w:rPr>
              <w:t>。</w:t>
            </w:r>
          </w:p>
          <w:p w14:paraId="1C7FCEC5">
            <w:pPr>
              <w:ind w:left="465" w:firstLine="422"/>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表</w:t>
            </w:r>
            <w:r>
              <w:rPr>
                <w:rFonts w:hint="eastAsia" w:ascii="Times New Roman" w:hAnsi="Times New Roman" w:eastAsia="宋体" w:cs="Times New Roman"/>
                <w:b/>
                <w:bCs/>
                <w:color w:val="000000" w:themeColor="text1"/>
                <w:szCs w:val="21"/>
                <w:highlight w:val="none"/>
                <w14:textFill>
                  <w14:solidFill>
                    <w14:schemeClr w14:val="tx1"/>
                  </w14:solidFill>
                </w14:textFill>
              </w:rPr>
              <w:t>3-</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13</w:t>
            </w:r>
            <w:r>
              <w:rPr>
                <w:rFonts w:ascii="Times New Roman" w:hAnsi="Times New Roman" w:eastAsia="宋体" w:cs="Times New Roman"/>
                <w:b/>
                <w:bCs/>
                <w:color w:val="000000" w:themeColor="text1"/>
                <w:szCs w:val="21"/>
                <w:highlight w:val="none"/>
                <w14:textFill>
                  <w14:solidFill>
                    <w14:schemeClr w14:val="tx1"/>
                  </w14:solidFill>
                </w14:textFill>
              </w:rPr>
              <w:t xml:space="preserve">   </w:t>
            </w:r>
            <w:r>
              <w:rPr>
                <w:rFonts w:ascii="Times New Roman" w:hAnsi="Times New Roman" w:eastAsia="宋体" w:cs="Times New Roman"/>
                <w:b/>
                <w:color w:val="000000" w:themeColor="text1"/>
                <w:kern w:val="0"/>
                <w:szCs w:val="21"/>
                <w:highlight w:val="none"/>
                <w14:textFill>
                  <w14:solidFill>
                    <w14:schemeClr w14:val="tx1"/>
                  </w14:solidFill>
                </w14:textFill>
              </w:rPr>
              <w:t xml:space="preserve"> </w:t>
            </w:r>
            <w:r>
              <w:rPr>
                <w:rFonts w:ascii="Times New Roman" w:hAnsi="Times New Roman" w:eastAsia="宋体" w:cs="Times New Roman"/>
                <w:b/>
                <w:color w:val="000000" w:themeColor="text1"/>
                <w:szCs w:val="21"/>
                <w:highlight w:val="none"/>
                <w14:textFill>
                  <w14:solidFill>
                    <w14:schemeClr w14:val="tx1"/>
                  </w14:solidFill>
                </w14:textFill>
              </w:rPr>
              <w:t xml:space="preserve">《污水综合排放标准》（GB8978-1996）（摘录）  </w:t>
            </w:r>
            <w:r>
              <w:rPr>
                <w:rFonts w:ascii="Times New Roman" w:hAnsi="Times New Roman" w:eastAsia="宋体" w:cs="Times New Roman"/>
                <w:b/>
                <w:color w:val="000000" w:themeColor="text1"/>
                <w:szCs w:val="21"/>
                <w:highlight w:val="none"/>
                <w:lang w:val="zh-CN"/>
                <w14:textFill>
                  <w14:solidFill>
                    <w14:schemeClr w14:val="tx1"/>
                  </w14:solidFill>
                </w14:textFill>
              </w:rPr>
              <w:t>单位：mg/L</w:t>
            </w:r>
          </w:p>
          <w:tbl>
            <w:tblPr>
              <w:tblStyle w:val="20"/>
              <w:tblW w:w="5000" w:type="pct"/>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968"/>
              <w:gridCol w:w="921"/>
              <w:gridCol w:w="790"/>
              <w:gridCol w:w="1182"/>
              <w:gridCol w:w="922"/>
              <w:gridCol w:w="903"/>
              <w:gridCol w:w="2355"/>
            </w:tblGrid>
            <w:tr w14:paraId="767AE61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blHeader/>
              </w:trPr>
              <w:tc>
                <w:tcPr>
                  <w:tcW w:w="1043" w:type="dxa"/>
                  <w:tcBorders>
                    <w:top w:val="single" w:color="auto" w:sz="12" w:space="0"/>
                  </w:tcBorders>
                  <w:vAlign w:val="center"/>
                </w:tcPr>
                <w:p w14:paraId="34226D0F">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控制项目</w:t>
                  </w:r>
                </w:p>
              </w:tc>
              <w:tc>
                <w:tcPr>
                  <w:tcW w:w="992" w:type="dxa"/>
                  <w:tcBorders>
                    <w:top w:val="single" w:color="auto" w:sz="12" w:space="0"/>
                  </w:tcBorders>
                  <w:vAlign w:val="center"/>
                </w:tcPr>
                <w:p w14:paraId="1414F788">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单位</w:t>
                  </w:r>
                </w:p>
              </w:tc>
              <w:tc>
                <w:tcPr>
                  <w:tcW w:w="851" w:type="dxa"/>
                  <w:tcBorders>
                    <w:top w:val="single" w:color="auto" w:sz="12" w:space="0"/>
                  </w:tcBorders>
                  <w:vAlign w:val="center"/>
                </w:tcPr>
                <w:p w14:paraId="53BB0884">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标准</w:t>
                  </w:r>
                </w:p>
              </w:tc>
              <w:tc>
                <w:tcPr>
                  <w:tcW w:w="1275" w:type="dxa"/>
                  <w:tcBorders>
                    <w:top w:val="single" w:color="auto" w:sz="12" w:space="0"/>
                  </w:tcBorders>
                  <w:vAlign w:val="center"/>
                </w:tcPr>
                <w:p w14:paraId="0820106B">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控制项目</w:t>
                  </w:r>
                </w:p>
              </w:tc>
              <w:tc>
                <w:tcPr>
                  <w:tcW w:w="993" w:type="dxa"/>
                  <w:tcBorders>
                    <w:top w:val="single" w:color="auto" w:sz="12" w:space="0"/>
                  </w:tcBorders>
                  <w:vAlign w:val="center"/>
                </w:tcPr>
                <w:p w14:paraId="0D8EF6E5">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单位</w:t>
                  </w:r>
                </w:p>
              </w:tc>
              <w:tc>
                <w:tcPr>
                  <w:tcW w:w="973" w:type="dxa"/>
                  <w:tcBorders>
                    <w:top w:val="single" w:color="auto" w:sz="12" w:space="0"/>
                  </w:tcBorders>
                  <w:vAlign w:val="center"/>
                </w:tcPr>
                <w:p w14:paraId="0A8797A9">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标准</w:t>
                  </w:r>
                </w:p>
              </w:tc>
              <w:tc>
                <w:tcPr>
                  <w:tcW w:w="2547" w:type="dxa"/>
                  <w:tcBorders>
                    <w:top w:val="single" w:color="auto" w:sz="12" w:space="0"/>
                  </w:tcBorders>
                  <w:vAlign w:val="center"/>
                </w:tcPr>
                <w:p w14:paraId="771C0137">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依据</w:t>
                  </w:r>
                </w:p>
              </w:tc>
            </w:tr>
            <w:tr w14:paraId="0ACDAAC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49712BAB">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pH</w:t>
                  </w:r>
                </w:p>
              </w:tc>
              <w:tc>
                <w:tcPr>
                  <w:tcW w:w="992" w:type="dxa"/>
                  <w:vAlign w:val="center"/>
                </w:tcPr>
                <w:p w14:paraId="34139BF8">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无量纲</w:t>
                  </w:r>
                </w:p>
              </w:tc>
              <w:tc>
                <w:tcPr>
                  <w:tcW w:w="851" w:type="dxa"/>
                  <w:vAlign w:val="center"/>
                </w:tcPr>
                <w:p w14:paraId="7EB0BD08">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6-9</w:t>
                  </w:r>
                </w:p>
              </w:tc>
              <w:tc>
                <w:tcPr>
                  <w:tcW w:w="1275" w:type="dxa"/>
                  <w:vAlign w:val="center"/>
                </w:tcPr>
                <w:p w14:paraId="5A24C01B">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NH</w:t>
                  </w:r>
                  <w:r>
                    <w:rPr>
                      <w:rFonts w:ascii="Times New Roman" w:hAnsi="Times New Roman" w:eastAsia="宋体" w:cs="Times New Roman"/>
                      <w:color w:val="000000" w:themeColor="text1"/>
                      <w:kern w:val="0"/>
                      <w:szCs w:val="21"/>
                      <w:highlight w:val="none"/>
                      <w:vertAlign w:val="subscript"/>
                      <w14:textFill>
                        <w14:solidFill>
                          <w14:schemeClr w14:val="tx1"/>
                        </w14:solidFill>
                      </w14:textFill>
                    </w:rPr>
                    <w:t>3</w:t>
                  </w:r>
                  <w:r>
                    <w:rPr>
                      <w:rFonts w:ascii="Times New Roman" w:hAnsi="Times New Roman" w:eastAsia="宋体" w:cs="Times New Roman"/>
                      <w:color w:val="000000" w:themeColor="text1"/>
                      <w:kern w:val="0"/>
                      <w:szCs w:val="21"/>
                      <w:highlight w:val="none"/>
                      <w14:textFill>
                        <w14:solidFill>
                          <w14:schemeClr w14:val="tx1"/>
                        </w14:solidFill>
                      </w14:textFill>
                    </w:rPr>
                    <w:t>-N</w:t>
                  </w:r>
                </w:p>
              </w:tc>
              <w:tc>
                <w:tcPr>
                  <w:tcW w:w="993" w:type="dxa"/>
                  <w:vAlign w:val="center"/>
                </w:tcPr>
                <w:p w14:paraId="53495B9F">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41C0EE5E">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45</w:t>
                  </w:r>
                </w:p>
              </w:tc>
              <w:tc>
                <w:tcPr>
                  <w:tcW w:w="2547" w:type="dxa"/>
                  <w:vMerge w:val="restart"/>
                  <w:vAlign w:val="center"/>
                </w:tcPr>
                <w:p w14:paraId="0534DC1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《污水综合排放标准》（GB8978-1996）中</w:t>
                  </w:r>
                </w:p>
                <w:p w14:paraId="6318C31E">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三级标准</w:t>
                  </w:r>
                </w:p>
              </w:tc>
            </w:tr>
            <w:tr w14:paraId="0F9D52A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7232C72B">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SS</w:t>
                  </w:r>
                </w:p>
              </w:tc>
              <w:tc>
                <w:tcPr>
                  <w:tcW w:w="992" w:type="dxa"/>
                  <w:vAlign w:val="center"/>
                </w:tcPr>
                <w:p w14:paraId="6167815F">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851" w:type="dxa"/>
                  <w:vAlign w:val="center"/>
                </w:tcPr>
                <w:p w14:paraId="7B2F53F3">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400</w:t>
                  </w:r>
                </w:p>
              </w:tc>
              <w:tc>
                <w:tcPr>
                  <w:tcW w:w="1275" w:type="dxa"/>
                  <w:vAlign w:val="center"/>
                </w:tcPr>
                <w:p w14:paraId="6B0EEE2B">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总磷</w:t>
                  </w:r>
                </w:p>
              </w:tc>
              <w:tc>
                <w:tcPr>
                  <w:tcW w:w="993" w:type="dxa"/>
                  <w:vAlign w:val="center"/>
                </w:tcPr>
                <w:p w14:paraId="79DC55D4">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7E9A4F9A">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8</w:t>
                  </w:r>
                </w:p>
              </w:tc>
              <w:tc>
                <w:tcPr>
                  <w:tcW w:w="2547" w:type="dxa"/>
                  <w:vMerge w:val="continue"/>
                  <w:vAlign w:val="center"/>
                </w:tcPr>
                <w:p w14:paraId="4168A9B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p>
              </w:tc>
            </w:tr>
            <w:tr w14:paraId="33D8900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46B29648">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COD</w:t>
                  </w:r>
                  <w:r>
                    <w:rPr>
                      <w:rFonts w:ascii="Times New Roman" w:hAnsi="Times New Roman" w:eastAsia="宋体" w:cs="Times New Roman"/>
                      <w:color w:val="000000" w:themeColor="text1"/>
                      <w:kern w:val="0"/>
                      <w:szCs w:val="21"/>
                      <w:highlight w:val="none"/>
                      <w:vertAlign w:val="subscript"/>
                      <w14:textFill>
                        <w14:solidFill>
                          <w14:schemeClr w14:val="tx1"/>
                        </w14:solidFill>
                      </w14:textFill>
                    </w:rPr>
                    <w:t>Cr</w:t>
                  </w:r>
                </w:p>
              </w:tc>
              <w:tc>
                <w:tcPr>
                  <w:tcW w:w="992" w:type="dxa"/>
                  <w:vAlign w:val="center"/>
                </w:tcPr>
                <w:p w14:paraId="1A7A3A36">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851" w:type="dxa"/>
                  <w:vAlign w:val="center"/>
                </w:tcPr>
                <w:p w14:paraId="4004DFE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500</w:t>
                  </w:r>
                </w:p>
              </w:tc>
              <w:tc>
                <w:tcPr>
                  <w:tcW w:w="1275" w:type="dxa"/>
                  <w:vAlign w:val="center"/>
                </w:tcPr>
                <w:p w14:paraId="58A86BA7">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动植物油</w:t>
                  </w:r>
                </w:p>
              </w:tc>
              <w:tc>
                <w:tcPr>
                  <w:tcW w:w="993" w:type="dxa"/>
                  <w:vAlign w:val="center"/>
                </w:tcPr>
                <w:p w14:paraId="05DA244C">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2B860155">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100</w:t>
                  </w:r>
                </w:p>
              </w:tc>
              <w:tc>
                <w:tcPr>
                  <w:tcW w:w="2547" w:type="dxa"/>
                  <w:vMerge w:val="continue"/>
                  <w:vAlign w:val="center"/>
                </w:tcPr>
                <w:p w14:paraId="267C17EB">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p>
              </w:tc>
            </w:tr>
            <w:tr w14:paraId="5954F59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69856411">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0"/>
                      <w:szCs w:val="21"/>
                      <w:highlight w:val="none"/>
                      <w14:textFill>
                        <w14:solidFill>
                          <w14:schemeClr w14:val="tx1"/>
                        </w14:solidFill>
                      </w14:textFill>
                    </w:rPr>
                    <w:t>氟化物</w:t>
                  </w:r>
                </w:p>
              </w:tc>
              <w:tc>
                <w:tcPr>
                  <w:tcW w:w="992" w:type="dxa"/>
                  <w:vAlign w:val="center"/>
                </w:tcPr>
                <w:p w14:paraId="05FD0797">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851" w:type="dxa"/>
                  <w:vAlign w:val="center"/>
                </w:tcPr>
                <w:p w14:paraId="1F6D54C8">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0"/>
                      <w:szCs w:val="21"/>
                      <w:highlight w:val="none"/>
                      <w14:textFill>
                        <w14:solidFill>
                          <w14:schemeClr w14:val="tx1"/>
                        </w14:solidFill>
                      </w14:textFill>
                    </w:rPr>
                    <w:t>20</w:t>
                  </w:r>
                </w:p>
              </w:tc>
              <w:tc>
                <w:tcPr>
                  <w:tcW w:w="1275" w:type="dxa"/>
                  <w:vAlign w:val="center"/>
                </w:tcPr>
                <w:p w14:paraId="2D691660">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石油类</w:t>
                  </w:r>
                </w:p>
              </w:tc>
              <w:tc>
                <w:tcPr>
                  <w:tcW w:w="993" w:type="dxa"/>
                  <w:vAlign w:val="center"/>
                </w:tcPr>
                <w:p w14:paraId="6C79982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11E76897">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20</w:t>
                  </w:r>
                </w:p>
              </w:tc>
              <w:tc>
                <w:tcPr>
                  <w:tcW w:w="2547" w:type="dxa"/>
                  <w:vMerge w:val="continue"/>
                  <w:vAlign w:val="center"/>
                </w:tcPr>
                <w:p w14:paraId="15C390A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p>
              </w:tc>
            </w:tr>
          </w:tbl>
          <w:p w14:paraId="5A8D8F0C">
            <w:pPr>
              <w:keepNext w:val="0"/>
              <w:keepLines w:val="0"/>
              <w:pageBreakBefore w:val="0"/>
              <w:widowControl w:val="0"/>
              <w:kinsoku/>
              <w:wordWrap/>
              <w:overflowPunct/>
              <w:topLinePunct w:val="0"/>
              <w:autoSpaceDE/>
              <w:autoSpaceDN/>
              <w:bidi w:val="0"/>
              <w:adjustRightInd w:val="0"/>
              <w:snapToGrid/>
              <w:spacing w:line="240" w:lineRule="auto"/>
              <w:ind w:firstLine="422" w:firstLineChars="200"/>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注：NH</w:t>
            </w:r>
            <w:r>
              <w:rPr>
                <w:rFonts w:ascii="Times New Roman" w:hAnsi="Times New Roman" w:eastAsia="宋体" w:cs="Times New Roman"/>
                <w:b/>
                <w:color w:val="000000" w:themeColor="text1"/>
                <w:kern w:val="0"/>
                <w:szCs w:val="21"/>
                <w:highlight w:val="none"/>
                <w:vertAlign w:val="subscript"/>
                <w14:textFill>
                  <w14:solidFill>
                    <w14:schemeClr w14:val="tx1"/>
                  </w14:solidFill>
                </w14:textFill>
              </w:rPr>
              <w:t>3</w:t>
            </w:r>
            <w:r>
              <w:rPr>
                <w:rFonts w:ascii="Times New Roman" w:hAnsi="Times New Roman" w:eastAsia="宋体" w:cs="Times New Roman"/>
                <w:b/>
                <w:color w:val="000000" w:themeColor="text1"/>
                <w:kern w:val="0"/>
                <w:szCs w:val="21"/>
                <w:highlight w:val="none"/>
                <w14:textFill>
                  <w14:solidFill>
                    <w14:schemeClr w14:val="tx1"/>
                  </w14:solidFill>
                </w14:textFill>
              </w:rPr>
              <w:t>-N/总磷在</w:t>
            </w:r>
            <w:r>
              <w:rPr>
                <w:rFonts w:ascii="Times New Roman" w:hAnsi="Times New Roman" w:eastAsia="宋体" w:cs="Times New Roman"/>
                <w:b/>
                <w:color w:val="000000" w:themeColor="text1"/>
                <w:szCs w:val="21"/>
                <w:highlight w:val="none"/>
                <w14:textFill>
                  <w14:solidFill>
                    <w14:schemeClr w14:val="tx1"/>
                  </w14:solidFill>
                </w14:textFill>
              </w:rPr>
              <w:t>《污水综合排放标准》（GB8978-1996）表4三级排放标准中未作规定，参照执行《污水排入城镇下水管道水质标准》（GB/T31962-2015）表1中B等级标准。</w:t>
            </w:r>
          </w:p>
          <w:p w14:paraId="5FD3924D">
            <w:pPr>
              <w:spacing w:line="500" w:lineRule="exact"/>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三、噪声</w:t>
            </w:r>
          </w:p>
          <w:p w14:paraId="1455CF34">
            <w:pPr>
              <w:widowControl w:val="0"/>
              <w:adjustRightInd w:val="0"/>
              <w:spacing w:line="360" w:lineRule="auto"/>
              <w:ind w:firstLine="480" w:firstLineChars="200"/>
              <w:jc w:val="left"/>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pPr>
            <w:r>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施工期噪声执行《建筑施工场界环境噪声排放标准》（GB12523-2011）标准；运营期噪声执行《工业企业厂界环境噪声排放标准》（GB12348-2008）</w:t>
            </w:r>
            <w:r>
              <w:rPr>
                <w:rFonts w:hint="eastAsia"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2</w:t>
            </w:r>
            <w:r>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类标准，标准值见表3-</w:t>
            </w:r>
            <w:r>
              <w:rPr>
                <w:rFonts w:hint="eastAsia"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14</w:t>
            </w:r>
            <w:r>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w:t>
            </w:r>
          </w:p>
          <w:p w14:paraId="3BF1441B">
            <w:pPr>
              <w:tabs>
                <w:tab w:val="left" w:pos="2592"/>
              </w:tabs>
              <w:ind w:firstLine="2530" w:firstLineChars="1200"/>
              <w:rPr>
                <w:rFonts w:ascii="Times New Roman" w:hAnsi="Times New Roman" w:eastAsia="宋体" w:cs="Times New Roman"/>
                <w:b/>
                <w:bCs/>
                <w:color w:val="000000" w:themeColor="text1"/>
                <w:szCs w:val="24"/>
                <w:highlight w:val="none"/>
                <w14:textFill>
                  <w14:solidFill>
                    <w14:schemeClr w14:val="tx1"/>
                  </w14:solidFill>
                </w14:textFill>
              </w:rPr>
            </w:pPr>
            <w:r>
              <w:rPr>
                <w:rFonts w:ascii="Times New Roman" w:hAnsi="Times New Roman" w:eastAsia="宋体" w:cs="Times New Roman"/>
                <w:b/>
                <w:bCs/>
                <w:color w:val="000000" w:themeColor="text1"/>
                <w:szCs w:val="24"/>
                <w:highlight w:val="none"/>
                <w14:textFill>
                  <w14:solidFill>
                    <w14:schemeClr w14:val="tx1"/>
                  </w14:solidFill>
                </w14:textFill>
              </w:rPr>
              <w:t>表3-</w:t>
            </w:r>
            <w:r>
              <w:rPr>
                <w:rFonts w:hint="eastAsia" w:ascii="Times New Roman" w:hAnsi="Times New Roman" w:eastAsia="宋体" w:cs="Times New Roman"/>
                <w:b/>
                <w:bCs/>
                <w:color w:val="000000" w:themeColor="text1"/>
                <w:szCs w:val="24"/>
                <w:highlight w:val="none"/>
                <w:lang w:val="en-US" w:eastAsia="zh-CN"/>
                <w14:textFill>
                  <w14:solidFill>
                    <w14:schemeClr w14:val="tx1"/>
                  </w14:solidFill>
                </w14:textFill>
              </w:rPr>
              <w:t>14</w:t>
            </w:r>
            <w:r>
              <w:rPr>
                <w:rFonts w:ascii="Times New Roman" w:hAnsi="Times New Roman" w:eastAsia="宋体" w:cs="Times New Roman"/>
                <w:b/>
                <w:bCs/>
                <w:color w:val="000000" w:themeColor="text1"/>
                <w:szCs w:val="24"/>
                <w:highlight w:val="none"/>
                <w14:textFill>
                  <w14:solidFill>
                    <w14:schemeClr w14:val="tx1"/>
                  </w14:solidFill>
                </w14:textFill>
              </w:rPr>
              <w:t xml:space="preserve">       </w:t>
            </w:r>
            <w:r>
              <w:rPr>
                <w:rFonts w:ascii="Times New Roman" w:hAnsi="Times New Roman" w:eastAsia="宋体" w:cs="Times New Roman"/>
                <w:b/>
                <w:color w:val="000000" w:themeColor="text1"/>
                <w:szCs w:val="21"/>
                <w:highlight w:val="none"/>
                <w14:textFill>
                  <w14:solidFill>
                    <w14:schemeClr w14:val="tx1"/>
                  </w14:solidFill>
                </w14:textFill>
              </w:rPr>
              <w:t>噪声排放标准              单位：dB（A）</w:t>
            </w:r>
          </w:p>
          <w:tbl>
            <w:tblPr>
              <w:tblStyle w:val="20"/>
              <w:tblW w:w="803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845"/>
              <w:gridCol w:w="2097"/>
              <w:gridCol w:w="2097"/>
            </w:tblGrid>
            <w:tr w14:paraId="635F0E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845" w:type="dxa"/>
                  <w:vAlign w:val="center"/>
                </w:tcPr>
                <w:p w14:paraId="3B73E121">
                  <w:pPr>
                    <w:tabs>
                      <w:tab w:val="left" w:pos="2592"/>
                    </w:tabs>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标准来源</w:t>
                  </w:r>
                </w:p>
              </w:tc>
              <w:tc>
                <w:tcPr>
                  <w:tcW w:w="2097" w:type="dxa"/>
                  <w:vAlign w:val="center"/>
                </w:tcPr>
                <w:p w14:paraId="25A14F60">
                  <w:pPr>
                    <w:tabs>
                      <w:tab w:val="left" w:pos="2592"/>
                    </w:tabs>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昼间</w:t>
                  </w:r>
                </w:p>
              </w:tc>
              <w:tc>
                <w:tcPr>
                  <w:tcW w:w="2097" w:type="dxa"/>
                  <w:vAlign w:val="center"/>
                </w:tcPr>
                <w:p w14:paraId="7BF31E37">
                  <w:pPr>
                    <w:tabs>
                      <w:tab w:val="left" w:pos="2592"/>
                    </w:tabs>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夜间</w:t>
                  </w:r>
                </w:p>
              </w:tc>
            </w:tr>
            <w:tr w14:paraId="5BAA4E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3845" w:type="dxa"/>
                  <w:vAlign w:val="center"/>
                </w:tcPr>
                <w:p w14:paraId="50EE8943">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《建筑施工场界环境噪声排放标准》（GB12523-2011）</w:t>
                  </w:r>
                </w:p>
              </w:tc>
              <w:tc>
                <w:tcPr>
                  <w:tcW w:w="2097" w:type="dxa"/>
                  <w:vAlign w:val="center"/>
                </w:tcPr>
                <w:p w14:paraId="6E2A4A9F">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70</w:t>
                  </w:r>
                </w:p>
              </w:tc>
              <w:tc>
                <w:tcPr>
                  <w:tcW w:w="2097" w:type="dxa"/>
                  <w:vAlign w:val="center"/>
                </w:tcPr>
                <w:p w14:paraId="01B544B8">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55</w:t>
                  </w:r>
                </w:p>
              </w:tc>
            </w:tr>
            <w:tr w14:paraId="663C1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3845" w:type="dxa"/>
                  <w:vAlign w:val="center"/>
                </w:tcPr>
                <w:p w14:paraId="64F58183">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《工业企业厂界环境噪声排放标准》（GB12348-2008）</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2</w:t>
                  </w:r>
                  <w:r>
                    <w:rPr>
                      <w:rFonts w:ascii="Times New Roman" w:hAnsi="Times New Roman" w:eastAsia="宋体" w:cs="Times New Roman"/>
                      <w:bCs/>
                      <w:color w:val="000000" w:themeColor="text1"/>
                      <w:szCs w:val="21"/>
                      <w:highlight w:val="none"/>
                      <w14:textFill>
                        <w14:solidFill>
                          <w14:schemeClr w14:val="tx1"/>
                        </w14:solidFill>
                      </w14:textFill>
                    </w:rPr>
                    <w:t>类排放标准</w:t>
                  </w:r>
                </w:p>
              </w:tc>
              <w:tc>
                <w:tcPr>
                  <w:tcW w:w="2097" w:type="dxa"/>
                  <w:vAlign w:val="center"/>
                </w:tcPr>
                <w:p w14:paraId="4C09DBC6">
                  <w:pPr>
                    <w:tabs>
                      <w:tab w:val="left" w:pos="2592"/>
                    </w:tabs>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60</w:t>
                  </w:r>
                </w:p>
              </w:tc>
              <w:tc>
                <w:tcPr>
                  <w:tcW w:w="2097" w:type="dxa"/>
                  <w:vAlign w:val="center"/>
                </w:tcPr>
                <w:p w14:paraId="27F4CFA4">
                  <w:pPr>
                    <w:tabs>
                      <w:tab w:val="left" w:pos="2592"/>
                    </w:tabs>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50</w:t>
                  </w:r>
                </w:p>
              </w:tc>
            </w:tr>
          </w:tbl>
          <w:p w14:paraId="0DF8CEC4">
            <w:pPr>
              <w:spacing w:line="500" w:lineRule="exact"/>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四、固体废物</w:t>
            </w:r>
          </w:p>
          <w:p w14:paraId="37E884A9">
            <w:pPr>
              <w:spacing w:line="500" w:lineRule="exact"/>
              <w:ind w:firstLine="480" w:firstLineChars="200"/>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本项目</w:t>
            </w:r>
            <w:r>
              <w:rPr>
                <w:rFonts w:hint="eastAsia" w:ascii="Times New Roman" w:hAnsi="Times New Roman" w:eastAsia="宋体"/>
                <w:color w:val="000000" w:themeColor="text1"/>
                <w:kern w:val="0"/>
                <w:sz w:val="24"/>
                <w:szCs w:val="24"/>
                <w:highlight w:val="none"/>
                <w14:textFill>
                  <w14:solidFill>
                    <w14:schemeClr w14:val="tx1"/>
                  </w14:solidFill>
                </w14:textFill>
              </w:rPr>
              <w:t>一般工业固体废物</w:t>
            </w:r>
            <w:r>
              <w:rPr>
                <w:rFonts w:ascii="宋体" w:hAnsi="宋体" w:eastAsia="宋体" w:cs="宋体"/>
                <w:color w:val="000000" w:themeColor="text1"/>
                <w:sz w:val="24"/>
                <w:szCs w:val="24"/>
                <w:highlight w:val="none"/>
                <w14:textFill>
                  <w14:solidFill>
                    <w14:schemeClr w14:val="tx1"/>
                  </w14:solidFill>
                </w14:textFill>
              </w:rPr>
              <w:t>贮存过程应满足相应防渗漏、防雨淋、防扬尘等环境保护要求。</w:t>
            </w:r>
            <w:r>
              <w:rPr>
                <w:rFonts w:hint="eastAsia" w:ascii="Times New Roman" w:hAnsi="Times New Roman" w:eastAsia="宋体"/>
                <w:color w:val="000000" w:themeColor="text1"/>
                <w:kern w:val="0"/>
                <w:sz w:val="24"/>
                <w:szCs w:val="24"/>
                <w:highlight w:val="none"/>
                <w14:textFill>
                  <w14:solidFill>
                    <w14:schemeClr w14:val="tx1"/>
                  </w14:solidFill>
                </w14:textFill>
              </w:rPr>
              <w:t>危险废物按照《危险废物贮存污染控制标准》（GB18597-2001）及其修改单要求执行。</w:t>
            </w:r>
          </w:p>
        </w:tc>
      </w:tr>
      <w:tr w14:paraId="3D09D0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456353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总量控制指标</w:t>
            </w:r>
          </w:p>
        </w:tc>
        <w:tc>
          <w:tcPr>
            <w:tcW w:w="4500" w:type="pct"/>
          </w:tcPr>
          <w:p w14:paraId="5E8EC539">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根据国务院《关于印发大气污染防治行动计划的通知》（国发〔2013〕37号）、《关于印发水污染防治行动计划的通知》（国发〔2015〕17号）、《国家环境保护标准“十三五”发展规划》、《关于贯彻落实&lt;建设项目主要污染物排放总量指标审核及管理暂行办法&gt;的通知》（川环办发〔2015〕333号）等文件中规定的实施污染物种类与原则。</w:t>
            </w:r>
          </w:p>
          <w:p w14:paraId="47AC33D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ascii="Times New Roman" w:hAnsi="Times New Roman" w:eastAsia="宋体" w:cs="Times New Roman"/>
                <w:b/>
                <w:color w:val="000000" w:themeColor="text1"/>
                <w:sz w:val="24"/>
                <w:szCs w:val="21"/>
                <w:highlight w:val="none"/>
                <w14:textFill>
                  <w14:solidFill>
                    <w14:schemeClr w14:val="tx1"/>
                  </w14:solidFill>
                </w14:textFill>
              </w:rPr>
            </w:pPr>
            <w:r>
              <w:rPr>
                <w:rFonts w:hint="eastAsia" w:ascii="Times New Roman" w:hAnsi="Times New Roman" w:eastAsia="宋体" w:cs="Times New Roman"/>
                <w:b/>
                <w:color w:val="000000" w:themeColor="text1"/>
                <w:sz w:val="24"/>
                <w:szCs w:val="22"/>
                <w:highlight w:val="none"/>
                <w14:textFill>
                  <w14:solidFill>
                    <w14:schemeClr w14:val="tx1"/>
                  </w14:solidFill>
                </w14:textFill>
              </w:rPr>
              <w:t>一</w:t>
            </w:r>
            <w:r>
              <w:rPr>
                <w:rFonts w:ascii="Times New Roman" w:hAnsi="Times New Roman" w:eastAsia="宋体" w:cs="Times New Roman"/>
                <w:b/>
                <w:color w:val="000000" w:themeColor="text1"/>
                <w:sz w:val="24"/>
                <w:szCs w:val="22"/>
                <w:highlight w:val="none"/>
                <w14:textFill>
                  <w14:solidFill>
                    <w14:schemeClr w14:val="tx1"/>
                  </w14:solidFill>
                </w14:textFill>
              </w:rPr>
              <w:t>、废气总量控制指标建议</w:t>
            </w:r>
            <w:r>
              <w:rPr>
                <w:rFonts w:ascii="Times New Roman" w:hAnsi="Times New Roman" w:eastAsia="宋体" w:cs="Times New Roman"/>
                <w:b/>
                <w:color w:val="000000" w:themeColor="text1"/>
                <w:sz w:val="24"/>
                <w:szCs w:val="24"/>
                <w:highlight w:val="none"/>
                <w14:textFill>
                  <w14:solidFill>
                    <w14:schemeClr w14:val="tx1"/>
                  </w14:solidFill>
                </w14:textFill>
              </w:rPr>
              <w:t>。</w:t>
            </w:r>
          </w:p>
          <w:p w14:paraId="4896BFA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根据四川省环境保护厅《关于贯彻落实&lt;建设项目主要污染物排放总量指标审核及管理暂行办法&gt;的通知》（川环办发〔2015〕333号），</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本项目不涉及废气总量控制指标</w:t>
            </w:r>
            <w:r>
              <w:rPr>
                <w:rFonts w:ascii="Times New Roman" w:hAnsi="Times New Roman" w:eastAsia="宋体" w:cs="Times New Roman"/>
                <w:color w:val="000000" w:themeColor="text1"/>
                <w:sz w:val="24"/>
                <w:szCs w:val="24"/>
                <w:highlight w:val="none"/>
                <w14:textFill>
                  <w14:solidFill>
                    <w14:schemeClr w14:val="tx1"/>
                  </w14:solidFill>
                </w14:textFill>
              </w:rPr>
              <w:t>。</w:t>
            </w:r>
          </w:p>
          <w:p w14:paraId="63087C60">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s="Times New Roman"/>
                <w:b/>
                <w:color w:val="000000" w:themeColor="text1"/>
                <w:sz w:val="24"/>
                <w:szCs w:val="24"/>
                <w:highlight w:val="none"/>
                <w14:textFill>
                  <w14:solidFill>
                    <w14:schemeClr w14:val="tx1"/>
                  </w14:solidFill>
                </w14:textFill>
              </w:rPr>
            </w:pPr>
            <w:r>
              <w:rPr>
                <w:rFonts w:hint="eastAsia" w:ascii="Times New Roman" w:hAnsi="Times New Roman" w:eastAsia="宋体" w:cs="Times New Roman"/>
                <w:b/>
                <w:color w:val="000000" w:themeColor="text1"/>
                <w:sz w:val="24"/>
                <w:szCs w:val="24"/>
                <w:highlight w:val="none"/>
                <w14:textFill>
                  <w14:solidFill>
                    <w14:schemeClr w14:val="tx1"/>
                  </w14:solidFill>
                </w14:textFill>
              </w:rPr>
              <w:t>二</w:t>
            </w:r>
            <w:r>
              <w:rPr>
                <w:rFonts w:ascii="Times New Roman" w:hAnsi="Times New Roman" w:eastAsia="宋体" w:cs="Times New Roman"/>
                <w:b/>
                <w:color w:val="000000" w:themeColor="text1"/>
                <w:sz w:val="24"/>
                <w:szCs w:val="24"/>
                <w:highlight w:val="none"/>
                <w14:textFill>
                  <w14:solidFill>
                    <w14:schemeClr w14:val="tx1"/>
                  </w14:solidFill>
                </w14:textFill>
              </w:rPr>
              <w:t>、废水总量控制指标建议：废水污染物中的COD、NH</w:t>
            </w:r>
            <w:r>
              <w:rPr>
                <w:rFonts w:ascii="Times New Roman" w:hAnsi="Times New Roman" w:eastAsia="宋体" w:cs="Times New Roman"/>
                <w:b/>
                <w:color w:val="000000" w:themeColor="text1"/>
                <w:sz w:val="24"/>
                <w:szCs w:val="24"/>
                <w:highlight w:val="none"/>
                <w:vertAlign w:val="subscript"/>
                <w14:textFill>
                  <w14:solidFill>
                    <w14:schemeClr w14:val="tx1"/>
                  </w14:solidFill>
                </w14:textFill>
              </w:rPr>
              <w:t>3</w:t>
            </w:r>
            <w:r>
              <w:rPr>
                <w:rFonts w:ascii="Times New Roman" w:hAnsi="Times New Roman" w:eastAsia="宋体" w:cs="Times New Roman"/>
                <w:b/>
                <w:color w:val="000000" w:themeColor="text1"/>
                <w:sz w:val="24"/>
                <w:szCs w:val="24"/>
                <w:highlight w:val="none"/>
                <w14:textFill>
                  <w14:solidFill>
                    <w14:schemeClr w14:val="tx1"/>
                  </w14:solidFill>
                </w14:textFill>
              </w:rPr>
              <w:t>-N、总磷。</w:t>
            </w:r>
          </w:p>
          <w:p w14:paraId="23B6376F">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项目生产废水和初期雨水经过</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14:textFill>
                  <w14:solidFill>
                    <w14:schemeClr w14:val="tx1"/>
                  </w14:solidFill>
                </w14:textFill>
              </w:rPr>
              <w:t>后回用，生活污水</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1890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ascii="Times New Roman" w:hAnsi="Times New Roman" w:eastAsia="宋体" w:cs="Times New Roman"/>
                <w:bCs/>
                <w:color w:val="000000" w:themeColor="text1"/>
                <w:sz w:val="24"/>
                <w:szCs w:val="24"/>
                <w:highlight w:val="none"/>
                <w14:textFill>
                  <w14:solidFill>
                    <w14:schemeClr w14:val="tx1"/>
                  </w14:solidFill>
                </w14:textFill>
              </w:rPr>
              <w:t>经厂区内预处理达</w:t>
            </w:r>
            <w:r>
              <w:rPr>
                <w:rFonts w:ascii="Times New Roman" w:hAnsi="Times New Roman" w:eastAsia="宋体" w:cs="Times New Roman"/>
                <w:color w:val="000000" w:themeColor="text1"/>
                <w:kern w:val="0"/>
                <w:sz w:val="24"/>
                <w:szCs w:val="22"/>
                <w:highlight w:val="none"/>
                <w14:textFill>
                  <w14:solidFill>
                    <w14:schemeClr w14:val="tx1"/>
                  </w14:solidFill>
                </w14:textFill>
              </w:rPr>
              <w:t>《污水综合排放标准》（GB8978-1996）中的三级标准</w:t>
            </w:r>
            <w:r>
              <w:rPr>
                <w:rFonts w:ascii="Times New Roman" w:hAnsi="Times New Roman" w:eastAsia="宋体" w:cs="Times New Roman"/>
                <w:bCs/>
                <w:color w:val="000000" w:themeColor="text1"/>
                <w:sz w:val="24"/>
                <w:szCs w:val="24"/>
                <w:highlight w:val="none"/>
                <w14:textFill>
                  <w14:solidFill>
                    <w14:schemeClr w14:val="tx1"/>
                  </w14:solidFill>
                </w14:textFill>
              </w:rPr>
              <w:t>后</w:t>
            </w: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由吸污车拉运至蓬溪县</w:t>
            </w:r>
            <w:r>
              <w:rPr>
                <w:rFonts w:hint="eastAsia" w:ascii="Times New Roman" w:hAnsi="Times New Roman" w:eastAsia="宋体" w:cs="Times New Roman"/>
                <w:color w:val="000000" w:themeColor="text1"/>
                <w:sz w:val="24"/>
                <w:szCs w:val="21"/>
                <w:highlight w:val="none"/>
                <w:lang w:eastAsia="zh-CN"/>
                <w14:textFill>
                  <w14:solidFill>
                    <w14:schemeClr w14:val="tx1"/>
                  </w14:solidFill>
                </w14:textFill>
              </w:rPr>
              <w:t>宝梵</w:t>
            </w:r>
            <w:r>
              <w:rPr>
                <w:rFonts w:hint="eastAsia" w:ascii="Times New Roman" w:hAnsi="Times New Roman" w:eastAsia="宋体" w:cs="Times New Roman"/>
                <w:color w:val="000000" w:themeColor="text1"/>
                <w:sz w:val="24"/>
                <w:szCs w:val="21"/>
                <w:highlight w:val="none"/>
                <w14:textFill>
                  <w14:solidFill>
                    <w14:schemeClr w14:val="tx1"/>
                  </w14:solidFill>
                </w14:textFill>
              </w:rPr>
              <w:t>污水处理厂</w:t>
            </w:r>
            <w:r>
              <w:rPr>
                <w:rFonts w:ascii="Times New Roman" w:hAnsi="Times New Roman" w:eastAsia="宋体" w:cs="Times New Roman"/>
                <w:bCs/>
                <w:color w:val="000000" w:themeColor="text1"/>
                <w:sz w:val="24"/>
                <w:szCs w:val="24"/>
                <w:highlight w:val="none"/>
                <w14:textFill>
                  <w14:solidFill>
                    <w14:schemeClr w14:val="tx1"/>
                  </w14:solidFill>
                </w14:textFill>
              </w:rPr>
              <w:t>处理达到《城镇污水处理厂污染物排放标准》（GB18918-2002）一级A标准后排入</w:t>
            </w:r>
            <w:r>
              <w:rPr>
                <w:rFonts w:hint="eastAsia" w:ascii="Times New Roman" w:hAnsi="Times New Roman" w:eastAsia="宋体" w:cs="Times New Roman"/>
                <w:color w:val="000000" w:themeColor="text1"/>
                <w:sz w:val="24"/>
                <w:szCs w:val="32"/>
                <w:highlight w:val="none"/>
                <w:lang w:eastAsia="zh-CN"/>
                <w14:textFill>
                  <w14:solidFill>
                    <w14:schemeClr w14:val="tx1"/>
                  </w14:solidFill>
                </w14:textFill>
              </w:rPr>
              <w:t>小潼河</w:t>
            </w:r>
            <w:r>
              <w:rPr>
                <w:rFonts w:ascii="Times New Roman" w:hAnsi="Times New Roman" w:eastAsia="宋体" w:cs="Times New Roman"/>
                <w:color w:val="000000" w:themeColor="text1"/>
                <w:sz w:val="24"/>
                <w:szCs w:val="22"/>
                <w:highlight w:val="none"/>
                <w14:textFill>
                  <w14:solidFill>
                    <w14:schemeClr w14:val="tx1"/>
                  </w14:solidFill>
                </w14:textFill>
              </w:rPr>
              <w:t>。</w:t>
            </w:r>
            <w:r>
              <w:rPr>
                <w:rFonts w:ascii="Times New Roman" w:hAnsi="Times New Roman" w:eastAsia="宋体" w:cs="Times New Roman"/>
                <w:color w:val="000000" w:themeColor="text1"/>
                <w:sz w:val="24"/>
                <w:szCs w:val="24"/>
                <w:highlight w:val="none"/>
                <w:lang w:val="zh-CN"/>
                <w14:textFill>
                  <w14:solidFill>
                    <w14:schemeClr w14:val="tx1"/>
                  </w14:solidFill>
                </w14:textFill>
              </w:rPr>
              <w:t>本</w:t>
            </w:r>
            <w:r>
              <w:rPr>
                <w:rFonts w:ascii="Times New Roman" w:hAnsi="Times New Roman" w:eastAsia="宋体" w:cs="Times New Roman"/>
                <w:color w:val="000000" w:themeColor="text1"/>
                <w:sz w:val="24"/>
                <w:szCs w:val="24"/>
                <w:highlight w:val="none"/>
                <w14:textFill>
                  <w14:solidFill>
                    <w14:schemeClr w14:val="tx1"/>
                  </w14:solidFill>
                </w14:textFill>
              </w:rPr>
              <w:t>评价仅就本项目进入</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污水处理厂</w:t>
            </w:r>
            <w:r>
              <w:rPr>
                <w:rFonts w:ascii="Times New Roman" w:hAnsi="Times New Roman" w:eastAsia="宋体" w:cs="Times New Roman"/>
                <w:color w:val="000000" w:themeColor="text1"/>
                <w:sz w:val="24"/>
                <w:szCs w:val="24"/>
                <w:highlight w:val="none"/>
                <w14:textFill>
                  <w14:solidFill>
                    <w14:schemeClr w14:val="tx1"/>
                  </w14:solidFill>
                </w14:textFill>
              </w:rPr>
              <w:t>和经污水处理厂处理后排放</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的</w:t>
            </w:r>
            <w:r>
              <w:rPr>
                <w:rFonts w:ascii="Times New Roman" w:hAnsi="Times New Roman" w:eastAsia="宋体" w:cs="Times New Roman"/>
                <w:color w:val="000000" w:themeColor="text1"/>
                <w:sz w:val="24"/>
                <w:szCs w:val="24"/>
                <w:highlight w:val="none"/>
                <w14:textFill>
                  <w14:solidFill>
                    <w14:schemeClr w14:val="tx1"/>
                  </w14:solidFill>
                </w14:textFill>
              </w:rPr>
              <w:t>水污染物给出统计数据：</w:t>
            </w:r>
          </w:p>
          <w:p w14:paraId="1043728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b/>
                <w:bCs/>
                <w:color w:val="000000" w:themeColor="text1"/>
                <w:sz w:val="24"/>
                <w:szCs w:val="24"/>
                <w:highlight w:val="none"/>
                <w:lang w:val="zh-CN"/>
                <w14:textFill>
                  <w14:solidFill>
                    <w14:schemeClr w14:val="tx1"/>
                  </w14:solidFill>
                </w14:textFill>
              </w:rPr>
            </w:pPr>
            <w:r>
              <w:rPr>
                <w:rFonts w:ascii="Times New Roman" w:hAnsi="Times New Roman" w:eastAsia="宋体" w:cs="Times New Roman"/>
                <w:b/>
                <w:bCs/>
                <w:color w:val="000000" w:themeColor="text1"/>
                <w:sz w:val="24"/>
                <w:szCs w:val="24"/>
                <w:highlight w:val="none"/>
                <w:lang w:val="zh-CN"/>
                <w14:textFill>
                  <w14:solidFill>
                    <w14:schemeClr w14:val="tx1"/>
                  </w14:solidFill>
                </w14:textFill>
              </w:rPr>
              <w:t>（1）本项目进入</w:t>
            </w:r>
            <w:r>
              <w:rPr>
                <w:rFonts w:hint="eastAsia" w:ascii="Times New Roman" w:hAnsi="Times New Roman" w:eastAsia="宋体" w:cs="Times New Roman"/>
                <w:b/>
                <w:bCs/>
                <w:color w:val="000000" w:themeColor="text1"/>
                <w:sz w:val="24"/>
                <w:szCs w:val="24"/>
                <w:highlight w:val="none"/>
                <w:lang w:val="zh-CN"/>
                <w14:textFill>
                  <w14:solidFill>
                    <w14:schemeClr w14:val="tx1"/>
                  </w14:solidFill>
                </w14:textFill>
              </w:rPr>
              <w:t>宝梵污水处理厂</w:t>
            </w:r>
            <w:r>
              <w:rPr>
                <w:rFonts w:ascii="Times New Roman" w:hAnsi="Times New Roman" w:eastAsia="宋体" w:cs="Times New Roman"/>
                <w:b/>
                <w:bCs/>
                <w:color w:val="000000" w:themeColor="text1"/>
                <w:sz w:val="24"/>
                <w:szCs w:val="24"/>
                <w:highlight w:val="none"/>
                <w:lang w:val="zh-CN"/>
                <w14:textFill>
                  <w14:solidFill>
                    <w14:schemeClr w14:val="tx1"/>
                  </w14:solidFill>
                </w14:textFill>
              </w:rPr>
              <w:t>的量</w:t>
            </w:r>
          </w:p>
          <w:p w14:paraId="45F2A17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COD：</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1890</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500</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1.0395</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31FB2D6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NH</w:t>
            </w:r>
            <w:r>
              <w:rPr>
                <w:rFonts w:ascii="Times New Roman" w:hAnsi="Times New Roman" w:eastAsia="宋体" w:cs="Times New Roman"/>
                <w:b/>
                <w:color w:val="000000" w:themeColor="text1"/>
                <w:sz w:val="24"/>
                <w:szCs w:val="24"/>
                <w:highlight w:val="none"/>
                <w:vertAlign w:val="subscript"/>
                <w:lang w:val="zh-CN"/>
                <w14:textFill>
                  <w14:solidFill>
                    <w14:schemeClr w14:val="tx1"/>
                  </w14:solidFill>
                </w14:textFill>
              </w:rPr>
              <w:t>3</w:t>
            </w:r>
            <w:r>
              <w:rPr>
                <w:rFonts w:ascii="Times New Roman" w:hAnsi="Times New Roman" w:eastAsia="宋体" w:cs="Times New Roman"/>
                <w:b/>
                <w:color w:val="000000" w:themeColor="text1"/>
                <w:sz w:val="24"/>
                <w:szCs w:val="24"/>
                <w:highlight w:val="none"/>
                <w:lang w:val="zh-CN"/>
                <w14:textFill>
                  <w14:solidFill>
                    <w14:schemeClr w14:val="tx1"/>
                  </w14:solidFill>
                </w14:textFill>
              </w:rPr>
              <w:t>-N：</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1890</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45</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0.0851</w:t>
            </w:r>
            <w:r>
              <w:rPr>
                <w:rFonts w:hint="eastAsia" w:ascii="Times New Roman" w:hAnsi="Times New Roman" w:eastAsia="宋体" w:cs="Times New Roman"/>
                <w:color w:val="000000" w:themeColor="text1"/>
                <w:sz w:val="24"/>
                <w:szCs w:val="24"/>
                <w:highlight w:val="none"/>
                <w14:textFill>
                  <w14:solidFill>
                    <w14:schemeClr w14:val="tx1"/>
                  </w14:solidFill>
                </w14:textFill>
              </w:rPr>
              <w:t>（</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5059689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bCs/>
                <w:color w:val="000000" w:themeColor="text1"/>
                <w:sz w:val="24"/>
                <w:szCs w:val="24"/>
                <w:highlight w:val="none"/>
                <w:lang w:val="zh-CN"/>
                <w14:textFill>
                  <w14:solidFill>
                    <w14:schemeClr w14:val="tx1"/>
                  </w14:solidFill>
                </w14:textFill>
              </w:rPr>
              <w:t>（2）</w:t>
            </w:r>
            <w:r>
              <w:rPr>
                <w:rFonts w:hint="eastAsia" w:ascii="Times New Roman" w:hAnsi="Times New Roman" w:eastAsia="宋体" w:cs="Times New Roman"/>
                <w:b/>
                <w:bCs/>
                <w:color w:val="000000" w:themeColor="text1"/>
                <w:sz w:val="24"/>
                <w:szCs w:val="24"/>
                <w:highlight w:val="none"/>
                <w:lang w:val="zh-CN"/>
                <w14:textFill>
                  <w14:solidFill>
                    <w14:schemeClr w14:val="tx1"/>
                  </w14:solidFill>
                </w14:textFill>
              </w:rPr>
              <w:t>宝梵污水处理厂</w:t>
            </w:r>
            <w:r>
              <w:rPr>
                <w:rFonts w:ascii="Times New Roman" w:hAnsi="Times New Roman" w:eastAsia="宋体" w:cs="Times New Roman"/>
                <w:b/>
                <w:bCs/>
                <w:color w:val="000000" w:themeColor="text1"/>
                <w:sz w:val="24"/>
                <w:szCs w:val="24"/>
                <w:highlight w:val="none"/>
                <w:lang w:val="zh-CN"/>
                <w14:textFill>
                  <w14:solidFill>
                    <w14:schemeClr w14:val="tx1"/>
                  </w14:solidFill>
                </w14:textFill>
              </w:rPr>
              <w:t>处理后排入</w:t>
            </w:r>
            <w:r>
              <w:rPr>
                <w:rFonts w:hint="eastAsia" w:ascii="Times New Roman" w:hAnsi="Times New Roman" w:eastAsia="宋体" w:cs="Times New Roman"/>
                <w:b/>
                <w:bCs/>
                <w:color w:val="000000" w:themeColor="text1"/>
                <w:sz w:val="24"/>
                <w:szCs w:val="24"/>
                <w:highlight w:val="none"/>
                <w:lang w:val="zh-CN"/>
                <w14:textFill>
                  <w14:solidFill>
                    <w14:schemeClr w14:val="tx1"/>
                  </w14:solidFill>
                </w14:textFill>
              </w:rPr>
              <w:t>小潼河</w:t>
            </w:r>
            <w:r>
              <w:rPr>
                <w:rFonts w:ascii="Times New Roman" w:hAnsi="Times New Roman" w:eastAsia="宋体" w:cs="Times New Roman"/>
                <w:b/>
                <w:bCs/>
                <w:color w:val="000000" w:themeColor="text1"/>
                <w:sz w:val="24"/>
                <w:szCs w:val="24"/>
                <w:highlight w:val="none"/>
                <w:lang w:val="zh-CN"/>
                <w14:textFill>
                  <w14:solidFill>
                    <w14:schemeClr w14:val="tx1"/>
                  </w14:solidFill>
                </w14:textFill>
              </w:rPr>
              <w:t>的量</w:t>
            </w:r>
          </w:p>
          <w:p w14:paraId="55E7DFB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COD：</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1890</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50</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hint="eastAsia"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0.0945</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6FABAF9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NH</w:t>
            </w:r>
            <w:r>
              <w:rPr>
                <w:rFonts w:ascii="Times New Roman" w:hAnsi="Times New Roman" w:eastAsia="宋体" w:cs="Times New Roman"/>
                <w:b/>
                <w:color w:val="000000" w:themeColor="text1"/>
                <w:sz w:val="24"/>
                <w:szCs w:val="24"/>
                <w:highlight w:val="none"/>
                <w:vertAlign w:val="subscript"/>
                <w:lang w:val="zh-CN"/>
                <w14:textFill>
                  <w14:solidFill>
                    <w14:schemeClr w14:val="tx1"/>
                  </w14:solidFill>
                </w14:textFill>
              </w:rPr>
              <w:t>3</w:t>
            </w:r>
            <w:r>
              <w:rPr>
                <w:rFonts w:ascii="Times New Roman" w:hAnsi="Times New Roman" w:eastAsia="宋体" w:cs="Times New Roman"/>
                <w:b/>
                <w:color w:val="000000" w:themeColor="text1"/>
                <w:sz w:val="24"/>
                <w:szCs w:val="24"/>
                <w:highlight w:val="none"/>
                <w:lang w:val="zh-CN"/>
                <w14:textFill>
                  <w14:solidFill>
                    <w14:schemeClr w14:val="tx1"/>
                  </w14:solidFill>
                </w14:textFill>
              </w:rPr>
              <w:t>-N：</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1890</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5</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0.0095</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5A03CBD4">
            <w:pPr>
              <w:spacing w:line="500" w:lineRule="exact"/>
              <w:ind w:firstLine="480" w:firstLineChars="200"/>
              <w:rPr>
                <w:rFonts w:hint="eastAsia" w:ascii="Times New Roman" w:hAnsi="Times New Roman" w:eastAsia="宋体"/>
                <w:color w:val="000000" w:themeColor="text1"/>
                <w:kern w:val="0"/>
                <w:sz w:val="24"/>
                <w:szCs w:val="24"/>
                <w:highlight w:val="none"/>
                <w14:textFill>
                  <w14:solidFill>
                    <w14:schemeClr w14:val="tx1"/>
                  </w14:solidFill>
                </w14:textFill>
              </w:rPr>
            </w:pPr>
          </w:p>
          <w:p w14:paraId="0FBD08B9">
            <w:pPr>
              <w:spacing w:line="500" w:lineRule="exact"/>
              <w:ind w:firstLine="480" w:firstLineChars="200"/>
              <w:rPr>
                <w:rFonts w:hint="eastAsia" w:ascii="Times New Roman" w:hAnsi="Times New Roman" w:eastAsia="宋体"/>
                <w:color w:val="000000" w:themeColor="text1"/>
                <w:kern w:val="0"/>
                <w:sz w:val="24"/>
                <w:szCs w:val="24"/>
                <w:highlight w:val="none"/>
                <w14:textFill>
                  <w14:solidFill>
                    <w14:schemeClr w14:val="tx1"/>
                  </w14:solidFill>
                </w14:textFill>
              </w:rPr>
            </w:pPr>
          </w:p>
          <w:p w14:paraId="353B6267">
            <w:pPr>
              <w:spacing w:line="500" w:lineRule="exact"/>
              <w:ind w:firstLine="480" w:firstLineChars="200"/>
              <w:rPr>
                <w:rFonts w:hint="eastAsia" w:ascii="Times New Roman" w:hAnsi="Times New Roman" w:eastAsia="宋体"/>
                <w:color w:val="000000" w:themeColor="text1"/>
                <w:kern w:val="0"/>
                <w:sz w:val="24"/>
                <w:szCs w:val="24"/>
                <w:highlight w:val="none"/>
                <w:lang w:eastAsia="zh-CN"/>
                <w14:textFill>
                  <w14:solidFill>
                    <w14:schemeClr w14:val="tx1"/>
                  </w14:solidFill>
                </w14:textFill>
              </w:rPr>
            </w:pPr>
          </w:p>
          <w:p w14:paraId="06CA8554">
            <w:pPr>
              <w:spacing w:line="500" w:lineRule="exact"/>
              <w:ind w:firstLine="480" w:firstLineChars="200"/>
              <w:rPr>
                <w:rFonts w:hint="eastAsia" w:ascii="Times New Roman" w:hAnsi="Times New Roman" w:eastAsia="宋体"/>
                <w:color w:val="000000" w:themeColor="text1"/>
                <w:kern w:val="0"/>
                <w:sz w:val="24"/>
                <w:szCs w:val="24"/>
                <w:highlight w:val="none"/>
                <w:lang w:eastAsia="zh-CN"/>
                <w14:textFill>
                  <w14:solidFill>
                    <w14:schemeClr w14:val="tx1"/>
                  </w14:solidFill>
                </w14:textFill>
              </w:rPr>
            </w:pPr>
          </w:p>
          <w:p w14:paraId="3F4FC915">
            <w:pPr>
              <w:spacing w:line="500" w:lineRule="exact"/>
              <w:ind w:firstLine="480" w:firstLineChars="200"/>
              <w:rPr>
                <w:rFonts w:hint="eastAsia" w:ascii="Times New Roman" w:hAnsi="Times New Roman" w:eastAsia="宋体"/>
                <w:color w:val="000000" w:themeColor="text1"/>
                <w:kern w:val="0"/>
                <w:sz w:val="24"/>
                <w:szCs w:val="24"/>
                <w:highlight w:val="none"/>
                <w:lang w:eastAsia="zh-CN"/>
                <w14:textFill>
                  <w14:solidFill>
                    <w14:schemeClr w14:val="tx1"/>
                  </w14:solidFill>
                </w14:textFill>
              </w:rPr>
            </w:pPr>
          </w:p>
          <w:p w14:paraId="72712424">
            <w:pPr>
              <w:spacing w:line="500" w:lineRule="exact"/>
              <w:ind w:firstLine="480" w:firstLineChars="200"/>
              <w:rPr>
                <w:rFonts w:hint="eastAsia" w:ascii="Times New Roman" w:hAnsi="Times New Roman" w:eastAsia="宋体"/>
                <w:color w:val="000000" w:themeColor="text1"/>
                <w:kern w:val="0"/>
                <w:sz w:val="24"/>
                <w:szCs w:val="24"/>
                <w:highlight w:val="none"/>
                <w:lang w:eastAsia="zh-CN"/>
                <w14:textFill>
                  <w14:solidFill>
                    <w14:schemeClr w14:val="tx1"/>
                  </w14:solidFill>
                </w14:textFill>
              </w:rPr>
            </w:pPr>
          </w:p>
          <w:p w14:paraId="6F05D1AF">
            <w:pPr>
              <w:spacing w:line="500" w:lineRule="exact"/>
              <w:ind w:firstLine="480" w:firstLineChars="200"/>
              <w:rPr>
                <w:rFonts w:hint="eastAsia" w:ascii="Times New Roman" w:hAnsi="Times New Roman" w:eastAsia="宋体"/>
                <w:color w:val="000000" w:themeColor="text1"/>
                <w:kern w:val="0"/>
                <w:sz w:val="24"/>
                <w:szCs w:val="24"/>
                <w:highlight w:val="none"/>
                <w:lang w:eastAsia="zh-CN"/>
                <w14:textFill>
                  <w14:solidFill>
                    <w14:schemeClr w14:val="tx1"/>
                  </w14:solidFill>
                </w14:textFill>
              </w:rPr>
            </w:pPr>
          </w:p>
          <w:p w14:paraId="3BAB011B">
            <w:pPr>
              <w:spacing w:line="500" w:lineRule="exact"/>
              <w:ind w:firstLine="480" w:firstLineChars="200"/>
              <w:rPr>
                <w:rFonts w:ascii="Times New Roman" w:hAnsi="Times New Roman" w:eastAsia="宋体"/>
                <w:color w:val="000000" w:themeColor="text1"/>
                <w:sz w:val="24"/>
                <w:szCs w:val="21"/>
                <w:highlight w:val="none"/>
                <w14:textFill>
                  <w14:solidFill>
                    <w14:schemeClr w14:val="tx1"/>
                  </w14:solidFill>
                </w14:textFill>
              </w:rPr>
            </w:pPr>
          </w:p>
        </w:tc>
      </w:tr>
    </w:tbl>
    <w:p w14:paraId="3C5024A2">
      <w:pPr>
        <w:rPr>
          <w:rFonts w:ascii="Times New Roman" w:hAnsi="Times New Roman" w:eastAsia="宋体"/>
          <w:color w:val="000000" w:themeColor="text1"/>
          <w:kern w:val="0"/>
          <w:sz w:val="24"/>
          <w:szCs w:val="24"/>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CBFC02A">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15" w:name="_Toc80643344"/>
      <w:r>
        <w:rPr>
          <w:rFonts w:ascii="Times New Roman" w:hAnsi="Times New Roman" w:eastAsia="宋体"/>
          <w:b/>
          <w:bCs/>
          <w:snapToGrid w:val="0"/>
          <w:color w:val="000000" w:themeColor="text1"/>
          <w:kern w:val="0"/>
          <w:sz w:val="36"/>
          <w:szCs w:val="32"/>
          <w:highlight w:val="none"/>
          <w14:textFill>
            <w14:solidFill>
              <w14:schemeClr w14:val="tx1"/>
            </w14:solidFill>
          </w14:textFill>
        </w:rPr>
        <w:t>四、</w:t>
      </w:r>
      <w:bookmarkEnd w:id="15"/>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主要环境影响和保护措施</w:t>
      </w:r>
    </w:p>
    <w:tbl>
      <w:tblPr>
        <w:tblStyle w:val="2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11"/>
        <w:gridCol w:w="8183"/>
      </w:tblGrid>
      <w:tr w14:paraId="3AB702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3" w:hRule="atLeast"/>
          <w:jc w:val="center"/>
        </w:trPr>
        <w:tc>
          <w:tcPr>
            <w:tcW w:w="500" w:type="pct"/>
            <w:tcMar>
              <w:left w:w="28" w:type="dxa"/>
              <w:right w:w="28" w:type="dxa"/>
            </w:tcMar>
            <w:vAlign w:val="center"/>
          </w:tcPr>
          <w:p w14:paraId="380C5D8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 w:val="24"/>
                <w:szCs w:val="21"/>
                <w:highlight w:val="none"/>
                <w14:textFill>
                  <w14:solidFill>
                    <w14:schemeClr w14:val="tx1"/>
                  </w14:solidFill>
                </w14:textFill>
              </w:rPr>
            </w:pPr>
            <w:bookmarkStart w:id="16" w:name="_Hlk49796138"/>
            <w:r>
              <w:rPr>
                <w:rFonts w:ascii="Times New Roman" w:hAnsi="Times New Roman" w:eastAsia="宋体"/>
                <w:bCs/>
                <w:color w:val="000000" w:themeColor="text1"/>
                <w:spacing w:val="10"/>
                <w:sz w:val="24"/>
                <w:szCs w:val="21"/>
                <w:highlight w:val="none"/>
                <w14:textFill>
                  <w14:solidFill>
                    <w14:schemeClr w14:val="tx1"/>
                  </w14:solidFill>
                </w14:textFill>
              </w:rPr>
              <w:t>施工期环境</w:t>
            </w:r>
            <w:bookmarkEnd w:id="16"/>
            <w:r>
              <w:rPr>
                <w:rFonts w:hint="eastAsia" w:ascii="Times New Roman" w:hAnsi="Times New Roman" w:eastAsia="宋体"/>
                <w:bCs/>
                <w:color w:val="000000" w:themeColor="text1"/>
                <w:spacing w:val="10"/>
                <w:sz w:val="24"/>
                <w:szCs w:val="21"/>
                <w:highlight w:val="none"/>
                <w14:textFill>
                  <w14:solidFill>
                    <w14:schemeClr w14:val="tx1"/>
                  </w14:solidFill>
                </w14:textFill>
              </w:rPr>
              <w:t>保护措施</w:t>
            </w:r>
          </w:p>
        </w:tc>
        <w:tc>
          <w:tcPr>
            <w:tcW w:w="4487" w:type="pct"/>
          </w:tcPr>
          <w:p w14:paraId="1E22DD08">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一、废气</w:t>
            </w:r>
          </w:p>
          <w:p w14:paraId="0B398C8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结合项目施工特点及施工内容，项目施工期大气污染源主要来自于以下方面：①建筑材料的现场搬运、堆放及清理过程产生扬尘，场地平整过程、各建筑物建设与装修过程产生扬尘；②人来车往造成的现场施工区二次扬尘；③运输车辆、施工机械设备排放的少量无组织废气等。</w:t>
            </w:r>
          </w:p>
          <w:p w14:paraId="1634549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运输车辆尾气及施工机械在运行中将产生燃油烟气，其中主要含有CO、NOx、THC等污染物，这些废气排放局限于施工现场和运输沿线，项目使用施工机械设备较少，污染物排放量小，且为非连续性的污染源，不会引起大的大气环境污染，因此对此废气可以不予考虑。</w:t>
            </w:r>
          </w:p>
          <w:p w14:paraId="479750A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施工阶段产生的扬尘主要来源于建筑材料的起尘以及施工作业区的二次起尘。建筑材料的运输和堆放、灰土拌合等作业过程对施工现场局部区域产生颗粒物污染，其污染范围和程度与施工工艺、施工管理及气象条件等多种因素有关，先进的施工工艺和科学的施工管理，可基本将颗粒物污染范围控制在施工界内区域。据有关调查显示，施工作业现场扬尘主要来自于运输车辆在行驶过程中产生的扬尘，其产生量约占工地扬尘总量的60%。在同样路面清洁程度条件下，车速越快，扬尘量越大；在同样车速情况下，路面越脏，扬尘量越大。因此限速行驶及保持路面清洁是减少运输车辆动力起尘的有效办法。</w:t>
            </w:r>
          </w:p>
          <w:p w14:paraId="0A5E700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治理措施：</w:t>
            </w:r>
          </w:p>
          <w:p w14:paraId="139CD57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①在施工区域四周布设密目防尘网，施工现场架设2.5~3m围墙，全封闭施工作业。</w:t>
            </w:r>
          </w:p>
          <w:p w14:paraId="1C8A454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②要求施工单位文明施工，定期对作业区以及整个厂区地面进行洒水，并对撒落在路面的渣土及时清除，清理阶段做到先洒水后清扫；</w:t>
            </w:r>
          </w:p>
          <w:p w14:paraId="60E0B55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③施工工序产生的少量建筑渣土及时清运到指定场所，避免造成二次起尘；施工严格按照正规操作规程进行操作，严禁乱抛、乱卸。</w:t>
            </w:r>
          </w:p>
          <w:p w14:paraId="40D292E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④水泥、石灰等散体材料运输过程中必须进行覆盖。堆放时采用入库或严密遮盖措施存放。</w:t>
            </w:r>
          </w:p>
          <w:p w14:paraId="1993E02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⑤建筑渣土运输车辆必须覆盖上路，以毡布覆盖，防止建筑垃圾的清运对沿途大气环境产生污染。</w:t>
            </w:r>
          </w:p>
          <w:p w14:paraId="038DDD2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⑥在项目场区对施工车辆必须实施限速行驶。</w:t>
            </w:r>
          </w:p>
          <w:p w14:paraId="3E7336D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⑦</w:t>
            </w:r>
            <w:r>
              <w:rPr>
                <w:rFonts w:ascii="Times New Roman" w:hAnsi="Times New Roman" w:eastAsia="宋体" w:cs="Times New Roman"/>
                <w:color w:val="000000" w:themeColor="text1"/>
                <w:sz w:val="24"/>
                <w:szCs w:val="24"/>
                <w:highlight w:val="none"/>
                <w14:textFill>
                  <w14:solidFill>
                    <w14:schemeClr w14:val="tx1"/>
                  </w14:solidFill>
                </w14:textFill>
              </w:rPr>
              <w:t>施工单位还需严格按照《四川省灰霾污染防治办法》中的相关要求加强施工场地扬尘的控制，全面督查建筑工地现场管理“六必须”、“六不准”的执行情况，即：必须打围作业、必须硬化道路、必须设置冲洗设施、必须湿法作业、必须配齐保洁人员、必须定时清扫施工现场；不准车辆带泥出门，不准运渣车辆冒顶装载、不准高空抛撒建渣、不准现场搅拌混凝土、不准场地积水、不准现场焚烧废弃物。同时，建设单位应根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w:t>
            </w:r>
            <w:r>
              <w:rPr>
                <w:rFonts w:ascii="Times New Roman" w:hAnsi="Times New Roman" w:eastAsia="宋体" w:cs="Times New Roman"/>
                <w:color w:val="000000" w:themeColor="text1"/>
                <w:sz w:val="24"/>
                <w:szCs w:val="24"/>
                <w:highlight w:val="none"/>
                <w14:textFill>
                  <w14:solidFill>
                    <w14:schemeClr w14:val="tx1"/>
                  </w14:solidFill>
                </w14:textFill>
              </w:rPr>
              <w:t>大气污染防治行动计划实施细则》和《关于集中开展环境空气质量达标攻坚行动的通知》中有关加强城市扬尘综合整治方面，加强本项目扬尘控制</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，施工期扬尘排放必须满足《四川省施工场地扬尘污染物排放标准》（</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DB51/2682-2020</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）中排放限值要求</w:t>
            </w:r>
            <w:r>
              <w:rPr>
                <w:rFonts w:ascii="Times New Roman" w:hAnsi="Times New Roman" w:eastAsia="宋体" w:cs="Times New Roman"/>
                <w:color w:val="000000" w:themeColor="text1"/>
                <w:sz w:val="24"/>
                <w:szCs w:val="24"/>
                <w:highlight w:val="none"/>
                <w14:textFill>
                  <w14:solidFill>
                    <w14:schemeClr w14:val="tx1"/>
                  </w14:solidFill>
                </w14:textFill>
              </w:rPr>
              <w:t>。</w:t>
            </w:r>
          </w:p>
          <w:p w14:paraId="3DE3ABF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采取上述措施后，项目施工作业对大气污染可接受，不会引起较大的污染问题。</w:t>
            </w:r>
          </w:p>
          <w:p w14:paraId="51B2A28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二、废水</w:t>
            </w:r>
          </w:p>
          <w:p w14:paraId="06E19A3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 xml:space="preserve">施工期的废水主要来源为两部分：一是工程建筑施工机械冲洗废水，二是施工人员产生的生活污水。 </w:t>
            </w:r>
          </w:p>
          <w:p w14:paraId="1EA0FCE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施工废水：项目施工作业过程中产生一定量的施工机械冲洗废水，主要含石油类、SS。本环评要求施工期应设置临时沉淀池（3.0m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），施工机械冲洗废水经沉淀池收集处理后回用或施工期间洒水抑尘，不外排。</w:t>
            </w:r>
          </w:p>
          <w:p w14:paraId="1246AFA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生活污水：项目施工高峰期人员人数约40人，不设置施工营地，施工队租赁附近民房，生活水量按照平均40L/人</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d计算，平均每天用水量为1.6m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/d，废水产生量为1.36m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/d，生活污水依托租赁民房已建化粪池进行处理。</w:t>
            </w:r>
          </w:p>
          <w:p w14:paraId="4112B5A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三、噪声</w:t>
            </w:r>
          </w:p>
          <w:p w14:paraId="57116D9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本项目施工噪声主要来源于各种施工机械和运输车辆产生的作业噪声。</w:t>
            </w:r>
          </w:p>
          <w:p w14:paraId="283E31B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拟采取的措施：施工期的噪声主要来源于设备安装噪声和车辆噪声，采取如下噪声控制措施：①合理安排设备安装时间，严禁夜间施工。②材料运输等汽车进场安排专人指挥，场内禁止运输车辆鸣笛。协调好运输建筑垃圾和原料的车辆通行时间，避免交通堵塞。运输路线尽量避开人群聚居区；夜间运输要采取减速缓行、禁止鸣笛等措施，确保运输噪声不扰民。③合理布置施工总平面布置图。将高噪声设备合理布置于施工场地中间。④加强施工人员的管理和教育，施工中减少不必要的金属敲击声。⑤在项目施工前，建设单位应与项目所在地周边居民通过协调会的形式协调好与周边的关系，随时收集周围民众的意见反馈，减免施工污染纠纷的产生；在施工期间，除采取必要的降噪措施外，建设单位还应加强管理，避免突发性噪声发生。</w:t>
            </w:r>
          </w:p>
          <w:p w14:paraId="4AEEC4D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综上，噪声在采取相应的管理措施后，施工期间的场界噪声满足《建筑施工厂界环境噪声排放标准》（GB12523-2011）标准的要求，不会对外环境造成较大影响。</w:t>
            </w:r>
          </w:p>
          <w:p w14:paraId="27F88FD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四、固体废物</w:t>
            </w:r>
          </w:p>
          <w:p w14:paraId="14AEEC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项目施工期产生的固体废物主要为施工过程中产生的建筑弃渣、建筑废料和施工人员产生的生活垃圾。</w:t>
            </w:r>
          </w:p>
          <w:p w14:paraId="08A75CC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建筑弃渣：定期清运至公路施工弃渣场处置。</w:t>
            </w:r>
          </w:p>
          <w:p w14:paraId="7F0D9F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建筑废料：分类回收，外售废品回收站；对不能回收的建筑废料应集中堆放，定期清运至指定垃圾堆场。</w:t>
            </w:r>
          </w:p>
          <w:p w14:paraId="32FC54C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生活垃圾：在施工场地内设置垃圾收集桶，产生的生活垃圾经垃圾收集桶集中收集后运至各乡镇垃圾收集点。</w:t>
            </w:r>
          </w:p>
          <w:p w14:paraId="16970B8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项目施工期结束后，影响将消除，对周边环境影响较小。</w:t>
            </w:r>
          </w:p>
          <w:p w14:paraId="034A40D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五、生态环境</w:t>
            </w:r>
          </w:p>
          <w:p w14:paraId="185E63B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施工期生态环境防治措施如下：</w:t>
            </w:r>
          </w:p>
          <w:p w14:paraId="3762485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1、在施工作业过程中，不得随意开挖，强化生态环境保护意识，严格控制施工作业区，不得随意扩大范围，尽量减少对植被的破坏。</w:t>
            </w:r>
          </w:p>
          <w:p w14:paraId="09D546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2、合理利用场地内原有植被设置绿化带，尽量保留可利用植被，降低生态影响。</w:t>
            </w:r>
          </w:p>
          <w:p w14:paraId="514BF99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3、项目实施后，对厂区内进行绿化，种植花草树木，尽量恢复区域绿化。</w:t>
            </w:r>
          </w:p>
        </w:tc>
      </w:tr>
      <w:tr w14:paraId="49AC0D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3" w:hRule="atLeast"/>
          <w:jc w:val="center"/>
        </w:trPr>
        <w:tc>
          <w:tcPr>
            <w:tcW w:w="500" w:type="pct"/>
            <w:tcMar>
              <w:left w:w="28" w:type="dxa"/>
              <w:right w:w="28" w:type="dxa"/>
            </w:tcMar>
            <w:vAlign w:val="center"/>
          </w:tcPr>
          <w:p w14:paraId="37399DC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pacing w:val="10"/>
                <w:sz w:val="24"/>
                <w:szCs w:val="21"/>
                <w:highlight w:val="none"/>
                <w14:textFill>
                  <w14:solidFill>
                    <w14:schemeClr w14:val="tx1"/>
                  </w14:solidFill>
                </w14:textFill>
              </w:rPr>
            </w:pPr>
            <w:r>
              <w:rPr>
                <w:rFonts w:hint="eastAsia" w:ascii="Times New Roman" w:hAnsi="Times New Roman" w:eastAsia="宋体"/>
                <w:bCs/>
                <w:color w:val="000000" w:themeColor="text1"/>
                <w:spacing w:val="10"/>
                <w:sz w:val="24"/>
                <w:szCs w:val="21"/>
                <w:highlight w:val="none"/>
                <w14:textFill>
                  <w14:solidFill>
                    <w14:schemeClr w14:val="tx1"/>
                  </w14:solidFill>
                </w14:textFill>
              </w:rPr>
              <w:t>运营期环境影响和保护措施</w:t>
            </w:r>
          </w:p>
        </w:tc>
        <w:tc>
          <w:tcPr>
            <w:tcW w:w="4487" w:type="pct"/>
          </w:tcPr>
          <w:p w14:paraId="492092E1">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一、大气污染物排放及治理措施</w:t>
            </w:r>
          </w:p>
          <w:p w14:paraId="6D0EF0FD">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项目运营期产生的大气污染物主要为生产过程中产生的粉尘。主要包括砂石等骨料在装卸</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输送过程中产生的粉尘；散装水泥和粉煤灰运输车抽料放空（即由罐车通过气力输送转至筒仓）产生的粉尘；搅拌机搅拌产生的粉尘；原料砂石堆场扬尘；汽车运输尾气、扬尘；焊接烟尘</w:t>
            </w:r>
            <w:r>
              <w:rPr>
                <w:rFonts w:hint="eastAsia"/>
                <w:color w:val="000000" w:themeColor="text1"/>
                <w:sz w:val="24"/>
                <w:szCs w:val="24"/>
                <w:highlight w:val="none"/>
                <w:lang w:eastAsia="zh-CN"/>
                <w14:textFill>
                  <w14:solidFill>
                    <w14:schemeClr w14:val="tx1"/>
                  </w14:solidFill>
                </w14:textFill>
              </w:rPr>
              <w:t>；食堂油烟</w:t>
            </w:r>
            <w:r>
              <w:rPr>
                <w:rFonts w:hint="eastAsia"/>
                <w:color w:val="000000" w:themeColor="text1"/>
                <w:sz w:val="24"/>
                <w:szCs w:val="24"/>
                <w:highlight w:val="none"/>
                <w14:textFill>
                  <w14:solidFill>
                    <w14:schemeClr w14:val="tx1"/>
                  </w14:solidFill>
                </w14:textFill>
              </w:rPr>
              <w:t>等。</w:t>
            </w:r>
          </w:p>
          <w:p w14:paraId="28068B66">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1、原料装卸</w:t>
            </w:r>
            <w:r>
              <w:rPr>
                <w:rFonts w:hint="eastAsia"/>
                <w:b/>
                <w:bCs/>
                <w:color w:val="000000" w:themeColor="text1"/>
                <w:sz w:val="24"/>
                <w:szCs w:val="24"/>
                <w:highlight w:val="none"/>
                <w:lang w:eastAsia="zh-CN"/>
                <w14:textFill>
                  <w14:solidFill>
                    <w14:schemeClr w14:val="tx1"/>
                  </w14:solidFill>
                </w14:textFill>
              </w:rPr>
              <w:t>、堆存</w:t>
            </w:r>
            <w:r>
              <w:rPr>
                <w:rFonts w:hint="eastAsia"/>
                <w:b/>
                <w:bCs/>
                <w:color w:val="000000" w:themeColor="text1"/>
                <w:sz w:val="24"/>
                <w:szCs w:val="24"/>
                <w:highlight w:val="none"/>
                <w14:textFill>
                  <w14:solidFill>
                    <w14:schemeClr w14:val="tx1"/>
                  </w14:solidFill>
                </w14:textFill>
              </w:rPr>
              <w:t>扬尘</w:t>
            </w:r>
          </w:p>
          <w:p w14:paraId="1096DDF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4BF5FDF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外购砂石存在运到原料存放间时，卸的过程中会产生一定量的扬尘。</w:t>
            </w:r>
          </w:p>
          <w:p w14:paraId="092B66C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w:t>
            </w:r>
          </w:p>
          <w:p w14:paraId="12AAD49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工业企业固体物料堆存颗粒物包括装卸场尘和风蚀扬尘，颗粒物产生量核算公式如下：</w:t>
            </w:r>
          </w:p>
          <w:p w14:paraId="261EF3F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4213860" cy="244475"/>
                  <wp:effectExtent l="0" t="0" r="15240" b="3175"/>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24"/>
                          <a:stretch>
                            <a:fillRect/>
                          </a:stretch>
                        </pic:blipFill>
                        <pic:spPr>
                          <a:xfrm>
                            <a:off x="0" y="0"/>
                            <a:ext cx="4213860" cy="244475"/>
                          </a:xfrm>
                          <a:prstGeom prst="rect">
                            <a:avLst/>
                          </a:prstGeom>
                          <a:noFill/>
                          <a:ln>
                            <a:noFill/>
                          </a:ln>
                        </pic:spPr>
                      </pic:pic>
                    </a:graphicData>
                  </a:graphic>
                </wp:inline>
              </w:drawing>
            </w:r>
          </w:p>
          <w:p w14:paraId="0A092EE3">
            <w:pPr>
              <w:pStyle w:val="61"/>
              <w:keepNext w:val="0"/>
              <w:keepLines w:val="0"/>
              <w:pageBreakBefore w:val="0"/>
              <w:widowControl w:val="0"/>
              <w:kinsoku/>
              <w:wordWrap/>
              <w:overflowPunct/>
              <w:topLinePunct w:val="0"/>
              <w:autoSpaceDE/>
              <w:autoSpaceDN/>
              <w:bidi w:val="0"/>
              <w:adjustRightInd w:val="0"/>
              <w:snapToGrid w:val="0"/>
              <w:spacing w:before="0" w:line="360" w:lineRule="auto"/>
              <w:ind w:firstLine="42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式中：P 指颗粒物产生量（单位：吨）；</w:t>
            </w:r>
          </w:p>
          <w:p w14:paraId="6451E328">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ZC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y</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指装卸扬尘产生量（单位：吨）；</w:t>
            </w:r>
          </w:p>
          <w:p w14:paraId="4767592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FC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y</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指风蚀扬尘产生量（单位：吨）；</w:t>
            </w:r>
          </w:p>
          <w:p w14:paraId="4E683D85">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N</w:t>
            </w:r>
            <w:r>
              <w:rPr>
                <w:rFonts w:hint="default" w:ascii="Times New Roman" w:hAnsi="Times New Roman" w:eastAsia="宋体" w:cs="Times New Roman"/>
                <w:color w:val="000000" w:themeColor="text1"/>
                <w:sz w:val="24"/>
                <w:szCs w:val="24"/>
                <w:highlight w:val="none"/>
                <w:vertAlign w:val="subscript"/>
                <w:lang w:val="en-US" w:eastAsia="zh-CN"/>
                <w14:textFill>
                  <w14:solidFill>
                    <w14:schemeClr w14:val="tx1"/>
                  </w14:solidFill>
                </w14:textFill>
              </w:rPr>
              <w:t>C</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指年物料运载车次（单位：车）</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；本项目年运输车次约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2820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09B5477A">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D 指单车平均运载量（单位：吨/车）</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吨；</w:t>
            </w:r>
          </w:p>
          <w:p w14:paraId="6B116D25">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a/b</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指装卸扬尘概化系数（单位：千克/吨），a 指各省风速概化系数，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附录1，</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四川省</w:t>
            </w:r>
            <w:r>
              <w:rPr>
                <w:rFonts w:hint="default" w:ascii="Times New Roman" w:hAnsi="Times New Roman" w:eastAsia="宋体" w:cs="Times New Roman"/>
                <w:color w:val="000000" w:themeColor="text1"/>
                <w:sz w:val="24"/>
                <w:szCs w:val="24"/>
                <w:highlight w:val="none"/>
                <w14:textFill>
                  <w14:solidFill>
                    <w14:schemeClr w14:val="tx1"/>
                  </w14:solidFill>
                </w14:textFill>
              </w:rPr>
              <w:t>风速概化系数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0.0006</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b 指物料含水率概化系数，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附录 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，骨料参照混合矿石含水率概化系数为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0.0084；</w:t>
            </w:r>
          </w:p>
          <w:p w14:paraId="0B1F5A7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E</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f</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指堆场风蚀扬尘概化系数（单位：千克/平方米），</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附录3</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参照混合矿石，</w:t>
            </w:r>
            <w:r>
              <w:rPr>
                <w:rFonts w:hint="default" w:ascii="Times New Roman" w:hAnsi="Times New Roman" w:eastAsia="宋体" w:cs="Times New Roman"/>
                <w:color w:val="000000" w:themeColor="text1"/>
                <w:sz w:val="24"/>
                <w:szCs w:val="24"/>
                <w:highlight w:val="none"/>
                <w14:textFill>
                  <w14:solidFill>
                    <w14:schemeClr w14:val="tx1"/>
                  </w14:solidFill>
                </w14:textFill>
              </w:rPr>
              <w:t>E</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f</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w:t>
            </w:r>
          </w:p>
          <w:p w14:paraId="390AB02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S 指堆场占地面积（单位：平方米）。</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本项目砂石料仓占地面积为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2400m</w:t>
            </w:r>
            <w:r>
              <w:rPr>
                <w:rFonts w:hint="eastAsia"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2D6B886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经计算</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，本项目砂石料仓原料</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装卸、堆存扬尘产生量为</w:t>
            </w:r>
            <w:r>
              <w:rPr>
                <w:rFonts w:hint="eastAsia" w:cs="Times New Roman"/>
                <w:color w:val="000000" w:themeColor="text1"/>
                <w:sz w:val="24"/>
                <w:szCs w:val="24"/>
                <w:highlight w:val="none"/>
                <w:vertAlign w:val="baseline"/>
                <w:lang w:val="en-US" w:eastAsia="zh-CN"/>
                <w14:textFill>
                  <w14:solidFill>
                    <w14:schemeClr w14:val="tx1"/>
                  </w14:solidFill>
                </w14:textFill>
              </w:rPr>
              <w:t>6.0429</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t/a</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r>
              <w:rPr>
                <w:rFonts w:hint="eastAsia" w:cs="Times New Roman"/>
                <w:color w:val="000000" w:themeColor="text1"/>
                <w:sz w:val="24"/>
                <w:szCs w:val="24"/>
                <w:highlight w:val="none"/>
                <w:vertAlign w:val="baseline"/>
                <w:lang w:val="en-US" w:eastAsia="zh-CN"/>
                <w14:textFill>
                  <w14:solidFill>
                    <w14:schemeClr w14:val="tx1"/>
                  </w14:solidFill>
                </w14:textFill>
              </w:rPr>
              <w:t>平均0.1727</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kg/h</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62C1A4E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（2）拟采取措施及排放情况</w:t>
            </w:r>
          </w:p>
          <w:p w14:paraId="2499A823">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砂石料全部堆放在砂石料仓内，料仓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14:textFill>
                  <w14:solidFill>
                    <w14:schemeClr w14:val="tx1"/>
                  </w14:solidFill>
                </w14:textFill>
              </w:rPr>
              <w:t>配料仓（斗）均采用三面围挡+彩钢顶棚的形式设置</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14:textFill>
                  <w14:solidFill>
                    <w14:schemeClr w14:val="tx1"/>
                  </w14:solidFill>
                </w14:textFill>
              </w:rPr>
              <w:t>并在顶部设置有喷雾除尘装置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每个料仓设置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同时，</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项目内</w:t>
            </w:r>
            <w:r>
              <w:rPr>
                <w:rFonts w:hint="default" w:ascii="Times New Roman" w:hAnsi="Times New Roman" w:eastAsia="宋体" w:cs="Times New Roman"/>
                <w:color w:val="000000" w:themeColor="text1"/>
                <w:sz w:val="24"/>
                <w:szCs w:val="24"/>
                <w:highlight w:val="none"/>
                <w14:textFill>
                  <w14:solidFill>
                    <w14:schemeClr w14:val="tx1"/>
                  </w14:solidFill>
                </w14:textFill>
              </w:rPr>
              <w:t>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台移动式除尘雾炮机。卸料时将雾炮机喷雾口对准卸料处喷雾降尘，卸料完毕后继续喷雾1min再停止，</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砂石骨料</w:t>
            </w:r>
            <w:r>
              <w:rPr>
                <w:rFonts w:hint="default" w:ascii="Times New Roman" w:hAnsi="Times New Roman" w:eastAsia="宋体" w:cs="Times New Roman"/>
                <w:color w:val="000000" w:themeColor="text1"/>
                <w:sz w:val="24"/>
                <w:szCs w:val="22"/>
                <w:highlight w:val="none"/>
                <w14:textFill>
                  <w14:solidFill>
                    <w14:schemeClr w14:val="tx1"/>
                  </w14:solidFill>
                </w14:textFill>
              </w:rPr>
              <w:t>卸料粉尘经封闭车间阻隔及喷淋抑尘后无组织排放。</w:t>
            </w:r>
          </w:p>
          <w:p w14:paraId="74BC21D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pacing w:val="-10"/>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附录4、附录5 粉尘控制措施控制效率级堆场类型控制效率如下：</w:t>
            </w:r>
          </w:p>
          <w:p w14:paraId="4795CC87">
            <w:pPr>
              <w:ind w:left="48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表4-</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1</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  粉尘控制措施控制效率级堆场类型控制效率</w:t>
            </w:r>
            <w:r>
              <w:rPr>
                <w:rFonts w:hint="default" w:ascii="Times New Roman" w:hAnsi="Times New Roman" w:eastAsia="宋体" w:cs="Times New Roman"/>
                <w:b/>
                <w:bCs/>
                <w:color w:val="000000" w:themeColor="text1"/>
                <w:szCs w:val="21"/>
                <w:highlight w:val="none"/>
                <w14:textFill>
                  <w14:solidFill>
                    <w14:schemeClr w14:val="tx1"/>
                  </w14:solidFill>
                </w14:textFill>
              </w:rPr>
              <w:t>表</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27"/>
              <w:gridCol w:w="1327"/>
              <w:gridCol w:w="1327"/>
              <w:gridCol w:w="1328"/>
              <w:gridCol w:w="1328"/>
              <w:gridCol w:w="1328"/>
            </w:tblGrid>
            <w:tr w14:paraId="71EAD3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10FDA5A0">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序号</w:t>
                  </w:r>
                </w:p>
              </w:tc>
              <w:tc>
                <w:tcPr>
                  <w:tcW w:w="833" w:type="pct"/>
                  <w:noWrap w:val="0"/>
                  <w:vAlign w:val="center"/>
                </w:tcPr>
                <w:p w14:paraId="32EB6EA5">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粉尘</w:t>
                  </w:r>
                  <w:r>
                    <w:rPr>
                      <w:rFonts w:hint="default" w:ascii="Times New Roman" w:hAnsi="Times New Roman" w:eastAsia="宋体" w:cs="Times New Roman"/>
                      <w:b/>
                      <w:color w:val="000000" w:themeColor="text1"/>
                      <w:sz w:val="21"/>
                      <w:szCs w:val="21"/>
                      <w:highlight w:val="none"/>
                      <w14:textFill>
                        <w14:solidFill>
                          <w14:schemeClr w14:val="tx1"/>
                        </w14:solidFill>
                      </w14:textFill>
                    </w:rPr>
                    <w:t>控制措施</w:t>
                  </w:r>
                </w:p>
              </w:tc>
              <w:tc>
                <w:tcPr>
                  <w:tcW w:w="833" w:type="pct"/>
                  <w:noWrap w:val="0"/>
                  <w:vAlign w:val="center"/>
                </w:tcPr>
                <w:p w14:paraId="76FBE821">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控制效率</w:t>
                  </w:r>
                </w:p>
              </w:tc>
              <w:tc>
                <w:tcPr>
                  <w:tcW w:w="833" w:type="pct"/>
                  <w:noWrap w:val="0"/>
                  <w:vAlign w:val="center"/>
                </w:tcPr>
                <w:p w14:paraId="57D72CDF">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序号</w:t>
                  </w:r>
                </w:p>
              </w:tc>
              <w:tc>
                <w:tcPr>
                  <w:tcW w:w="833" w:type="pct"/>
                  <w:noWrap w:val="0"/>
                  <w:vAlign w:val="center"/>
                </w:tcPr>
                <w:p w14:paraId="476FD5D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堆场类型</w:t>
                  </w:r>
                </w:p>
              </w:tc>
              <w:tc>
                <w:tcPr>
                  <w:tcW w:w="833" w:type="pct"/>
                  <w:noWrap w:val="0"/>
                  <w:vAlign w:val="center"/>
                </w:tcPr>
                <w:p w14:paraId="78AAA220">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控制效率</w:t>
                  </w:r>
                </w:p>
              </w:tc>
            </w:tr>
            <w:tr w14:paraId="75FBF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23A68351">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833" w:type="pct"/>
                  <w:noWrap w:val="0"/>
                  <w:vAlign w:val="center"/>
                </w:tcPr>
                <w:p w14:paraId="0E15F092">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洒水</w:t>
                  </w:r>
                </w:p>
              </w:tc>
              <w:tc>
                <w:tcPr>
                  <w:tcW w:w="833" w:type="pct"/>
                  <w:noWrap w:val="0"/>
                  <w:vAlign w:val="center"/>
                </w:tcPr>
                <w:p w14:paraId="25746837">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74%</w:t>
                  </w:r>
                </w:p>
              </w:tc>
              <w:tc>
                <w:tcPr>
                  <w:tcW w:w="833" w:type="pct"/>
                  <w:noWrap w:val="0"/>
                  <w:vAlign w:val="center"/>
                </w:tcPr>
                <w:p w14:paraId="18D8A095">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833" w:type="pct"/>
                  <w:noWrap w:val="0"/>
                  <w:vAlign w:val="center"/>
                </w:tcPr>
                <w:p w14:paraId="13D5527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敞开式</w:t>
                  </w:r>
                </w:p>
              </w:tc>
              <w:tc>
                <w:tcPr>
                  <w:tcW w:w="833" w:type="pct"/>
                  <w:noWrap w:val="0"/>
                  <w:vAlign w:val="center"/>
                </w:tcPr>
                <w:p w14:paraId="647B8610">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0%</w:t>
                  </w:r>
                </w:p>
              </w:tc>
            </w:tr>
            <w:tr w14:paraId="75785E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6195BBE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833" w:type="pct"/>
                  <w:noWrap w:val="0"/>
                  <w:vAlign w:val="center"/>
                </w:tcPr>
                <w:p w14:paraId="1D0BDBB1">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围挡</w:t>
                  </w:r>
                </w:p>
              </w:tc>
              <w:tc>
                <w:tcPr>
                  <w:tcW w:w="833" w:type="pct"/>
                  <w:noWrap w:val="0"/>
                  <w:vAlign w:val="center"/>
                </w:tcPr>
                <w:p w14:paraId="5E1E6686">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60%</w:t>
                  </w:r>
                </w:p>
              </w:tc>
              <w:tc>
                <w:tcPr>
                  <w:tcW w:w="833" w:type="pct"/>
                  <w:noWrap w:val="0"/>
                  <w:vAlign w:val="center"/>
                </w:tcPr>
                <w:p w14:paraId="4E539FDA">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833" w:type="pct"/>
                  <w:noWrap w:val="0"/>
                  <w:vAlign w:val="center"/>
                </w:tcPr>
                <w:p w14:paraId="2A47DA44">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密闭式</w:t>
                  </w:r>
                </w:p>
              </w:tc>
              <w:tc>
                <w:tcPr>
                  <w:tcW w:w="833" w:type="pct"/>
                  <w:noWrap w:val="0"/>
                  <w:vAlign w:val="center"/>
                </w:tcPr>
                <w:p w14:paraId="3EE11B0C">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99%</w:t>
                  </w:r>
                </w:p>
              </w:tc>
            </w:tr>
            <w:tr w14:paraId="0A8EB9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0B078782">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833" w:type="pct"/>
                  <w:noWrap w:val="0"/>
                  <w:vAlign w:val="center"/>
                </w:tcPr>
                <w:p w14:paraId="186DA673">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化学剂</w:t>
                  </w:r>
                </w:p>
              </w:tc>
              <w:tc>
                <w:tcPr>
                  <w:tcW w:w="833" w:type="pct"/>
                  <w:noWrap w:val="0"/>
                  <w:vAlign w:val="center"/>
                </w:tcPr>
                <w:p w14:paraId="20B53860">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88%</w:t>
                  </w:r>
                </w:p>
              </w:tc>
              <w:tc>
                <w:tcPr>
                  <w:tcW w:w="833" w:type="pct"/>
                  <w:noWrap w:val="0"/>
                  <w:vAlign w:val="center"/>
                </w:tcPr>
                <w:p w14:paraId="5484E50F">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833" w:type="pct"/>
                  <w:noWrap w:val="0"/>
                  <w:vAlign w:val="center"/>
                </w:tcPr>
                <w:p w14:paraId="7E49BCE6">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半敞开式</w:t>
                  </w:r>
                </w:p>
              </w:tc>
              <w:tc>
                <w:tcPr>
                  <w:tcW w:w="833" w:type="pct"/>
                  <w:noWrap w:val="0"/>
                  <w:vAlign w:val="center"/>
                </w:tcPr>
                <w:p w14:paraId="20079C0E">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60%</w:t>
                  </w:r>
                </w:p>
              </w:tc>
            </w:tr>
            <w:tr w14:paraId="5B6297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7D7B6A00">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833" w:type="pct"/>
                  <w:noWrap w:val="0"/>
                  <w:vAlign w:val="center"/>
                </w:tcPr>
                <w:p w14:paraId="36A89EC9">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编织覆盖</w:t>
                  </w:r>
                </w:p>
              </w:tc>
              <w:tc>
                <w:tcPr>
                  <w:tcW w:w="833" w:type="pct"/>
                  <w:noWrap w:val="0"/>
                  <w:vAlign w:val="center"/>
                </w:tcPr>
                <w:p w14:paraId="60456FC9">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86%</w:t>
                  </w:r>
                </w:p>
              </w:tc>
              <w:tc>
                <w:tcPr>
                  <w:tcW w:w="833" w:type="pct"/>
                  <w:noWrap w:val="0"/>
                  <w:vAlign w:val="center"/>
                </w:tcPr>
                <w:p w14:paraId="2E9E1EF6">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833" w:type="pct"/>
                  <w:noWrap w:val="0"/>
                  <w:vAlign w:val="center"/>
                </w:tcPr>
                <w:p w14:paraId="3B799629">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p>
              </w:tc>
              <w:tc>
                <w:tcPr>
                  <w:tcW w:w="833" w:type="pct"/>
                  <w:noWrap w:val="0"/>
                  <w:vAlign w:val="center"/>
                </w:tcPr>
                <w:p w14:paraId="462CC618">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p>
              </w:tc>
            </w:tr>
            <w:tr w14:paraId="5BFDCE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644647BF">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833" w:type="pct"/>
                  <w:noWrap w:val="0"/>
                  <w:vAlign w:val="center"/>
                </w:tcPr>
                <w:p w14:paraId="30A1AF2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出入车辆冲洗</w:t>
                  </w:r>
                </w:p>
              </w:tc>
              <w:tc>
                <w:tcPr>
                  <w:tcW w:w="833" w:type="pct"/>
                  <w:noWrap w:val="0"/>
                  <w:vAlign w:val="center"/>
                </w:tcPr>
                <w:p w14:paraId="37EA2C19">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78%</w:t>
                  </w:r>
                </w:p>
              </w:tc>
              <w:tc>
                <w:tcPr>
                  <w:tcW w:w="833" w:type="pct"/>
                  <w:noWrap w:val="0"/>
                  <w:vAlign w:val="center"/>
                </w:tcPr>
                <w:p w14:paraId="29A8379C">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833" w:type="pct"/>
                  <w:noWrap w:val="0"/>
                  <w:vAlign w:val="center"/>
                </w:tcPr>
                <w:p w14:paraId="6AC20670">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p>
              </w:tc>
              <w:tc>
                <w:tcPr>
                  <w:tcW w:w="833" w:type="pct"/>
                  <w:noWrap w:val="0"/>
                  <w:vAlign w:val="center"/>
                </w:tcPr>
                <w:p w14:paraId="0D18885D">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p>
              </w:tc>
            </w:tr>
          </w:tbl>
          <w:p w14:paraId="6215B8B9">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Chars="0" w:firstLine="440" w:firstLineChars="200"/>
              <w:jc w:val="both"/>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pacing w:val="-10"/>
                <w:sz w:val="24"/>
                <w:szCs w:val="24"/>
                <w:highlight w:val="none"/>
                <w:lang w:eastAsia="zh-CN"/>
                <w14:textFill>
                  <w14:solidFill>
                    <w14:schemeClr w14:val="tx1"/>
                  </w14:solidFill>
                </w14:textFill>
              </w:rPr>
              <w:t>本项目同时采取洒水（喷雾降尘装置）、围挡、出入车辆冲洗粉尘控制措施，粉尘综合控制效率为【</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1—（1—74%）×（1—60%）×（1—78%）</w:t>
            </w:r>
            <w:r>
              <w:rPr>
                <w:rFonts w:hint="default" w:ascii="Times New Roman" w:hAnsi="Times New Roman" w:eastAsia="宋体" w:cs="Times New Roman"/>
                <w:b w:val="0"/>
                <w:bCs/>
                <w:color w:val="000000" w:themeColor="text1"/>
                <w:spacing w:val="-10"/>
                <w:sz w:val="24"/>
                <w:szCs w:val="24"/>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=98.592%，本项目堆场类型均为半敞开式</w:t>
            </w:r>
            <w:r>
              <w:rPr>
                <w:rFonts w:hint="eastAsia"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（除进出口通道外，其余封闭）</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，控制效率为60%。</w:t>
            </w:r>
          </w:p>
          <w:p w14:paraId="6EADEC8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根据《全国第二次污染源普查工业源产排污系数手册》附表2 固体物料堆存颗粒物产排污核算系数手册，工业企业固体物料堆场颗粒物排放量核算公式如下： </w:t>
            </w:r>
          </w:p>
          <w:p w14:paraId="214C210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Cs w:val="24"/>
                <w:highlight w:val="none"/>
                <w14:textFill>
                  <w14:solidFill>
                    <w14:schemeClr w14:val="tx1"/>
                  </w14:solidFill>
                </w14:textFill>
              </w:rPr>
              <w:drawing>
                <wp:inline distT="0" distB="0" distL="114300" distR="114300">
                  <wp:extent cx="2180590" cy="188595"/>
                  <wp:effectExtent l="0" t="0" r="10160" b="1905"/>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pic:cNvPicPr>
                        </pic:nvPicPr>
                        <pic:blipFill>
                          <a:blip r:embed="rId25"/>
                          <a:stretch>
                            <a:fillRect/>
                          </a:stretch>
                        </pic:blipFill>
                        <pic:spPr>
                          <a:xfrm>
                            <a:off x="0" y="0"/>
                            <a:ext cx="2180590" cy="188595"/>
                          </a:xfrm>
                          <a:prstGeom prst="rect">
                            <a:avLst/>
                          </a:prstGeom>
                          <a:noFill/>
                          <a:ln>
                            <a:noFill/>
                          </a:ln>
                        </pic:spPr>
                      </pic:pic>
                    </a:graphicData>
                  </a:graphic>
                </wp:inline>
              </w:drawing>
            </w:r>
          </w:p>
          <w:p w14:paraId="2D75EF7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式中：P 指颗粒物产生量（单位：吨）；</w:t>
            </w:r>
          </w:p>
          <w:p w14:paraId="7BD192C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 xml:space="preserve">Uc 指颗粒物排放量（单位：吨）； </w:t>
            </w:r>
          </w:p>
          <w:p w14:paraId="442A656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Cm指颗粒物控制措施控制效率（单位：%），</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根据附录</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4计算，本项目堆场</w:t>
            </w:r>
            <w:r>
              <w:rPr>
                <w:rFonts w:hint="default" w:ascii="Times New Roman" w:hAnsi="Times New Roman" w:eastAsia="宋体" w:cs="Times New Roman"/>
                <w:bCs/>
                <w:color w:val="000000" w:themeColor="text1"/>
                <w:sz w:val="24"/>
                <w:szCs w:val="24"/>
                <w:highlight w:val="none"/>
                <w14:textFill>
                  <w14:solidFill>
                    <w14:schemeClr w14:val="tx1"/>
                  </w14:solidFill>
                </w14:textFill>
              </w:rPr>
              <w:t>颗粒物控制措施控制效率</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为</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98.592%；</w:t>
            </w:r>
          </w:p>
          <w:p w14:paraId="01294F2D">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Tm指堆场类型控制效率（单位：%），</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根据附录</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5，本项目堆场</w:t>
            </w:r>
            <w:r>
              <w:rPr>
                <w:rFonts w:hint="default" w:ascii="Times New Roman" w:hAnsi="Times New Roman" w:eastAsia="宋体" w:cs="Times New Roman"/>
                <w:bCs/>
                <w:color w:val="000000" w:themeColor="text1"/>
                <w:sz w:val="24"/>
                <w:szCs w:val="24"/>
                <w:highlight w:val="none"/>
                <w14:textFill>
                  <w14:solidFill>
                    <w14:schemeClr w14:val="tx1"/>
                  </w14:solidFill>
                </w14:textFill>
              </w:rPr>
              <w:t>控制效率</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为</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60%</w:t>
            </w:r>
            <w:r>
              <w:rPr>
                <w:rFonts w:hint="default" w:ascii="Times New Roman" w:hAnsi="Times New Roman" w:eastAsia="宋体" w:cs="Times New Roman"/>
                <w:bCs/>
                <w:color w:val="000000" w:themeColor="text1"/>
                <w:sz w:val="24"/>
                <w:szCs w:val="24"/>
                <w:highlight w:val="none"/>
                <w14:textFill>
                  <w14:solidFill>
                    <w14:schemeClr w14:val="tx1"/>
                  </w14:solidFill>
                </w14:textFill>
              </w:rPr>
              <w:t>。</w:t>
            </w:r>
          </w:p>
          <w:p w14:paraId="5242940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骨料卸料扬尘排放量（无组织）：</w:t>
            </w:r>
            <w:r>
              <w:rPr>
                <w:rFonts w:hint="eastAsia" w:cs="Times New Roman"/>
                <w:color w:val="000000" w:themeColor="text1"/>
                <w:sz w:val="24"/>
                <w:szCs w:val="24"/>
                <w:highlight w:val="none"/>
                <w:vertAlign w:val="baseline"/>
                <w:lang w:val="en-US" w:eastAsia="zh-CN"/>
                <w14:textFill>
                  <w14:solidFill>
                    <w14:schemeClr w14:val="tx1"/>
                  </w14:solidFill>
                </w14:textFill>
              </w:rPr>
              <w:t>6.0429</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98.592%</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eastAsia" w:cs="Times New Roman"/>
                <w:color w:val="000000" w:themeColor="text1"/>
                <w:sz w:val="24"/>
                <w:szCs w:val="22"/>
                <w:highlight w:val="none"/>
                <w:lang w:val="en-US" w:eastAsia="zh-CN"/>
                <w14:textFill>
                  <w14:solidFill>
                    <w14:schemeClr w14:val="tx1"/>
                  </w14:solidFill>
                </w14:textFill>
              </w:rPr>
              <w:t>034</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t/a（平均</w:t>
            </w:r>
            <w:r>
              <w:rPr>
                <w:rFonts w:hint="eastAsia" w:cs="Times New Roman"/>
                <w:color w:val="000000" w:themeColor="text1"/>
                <w:sz w:val="24"/>
                <w:szCs w:val="22"/>
                <w:highlight w:val="none"/>
                <w:lang w:val="en-US" w:eastAsia="zh-CN"/>
                <w14:textFill>
                  <w14:solidFill>
                    <w14:schemeClr w14:val="tx1"/>
                  </w14:solidFill>
                </w14:textFill>
              </w:rPr>
              <w:t>0.097</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kg/d、</w:t>
            </w:r>
            <w:r>
              <w:rPr>
                <w:rFonts w:hint="eastAsia" w:cs="Times New Roman"/>
                <w:color w:val="000000" w:themeColor="text1"/>
                <w:sz w:val="24"/>
                <w:szCs w:val="22"/>
                <w:highlight w:val="none"/>
                <w:lang w:val="en-US" w:eastAsia="zh-CN"/>
                <w14:textFill>
                  <w14:solidFill>
                    <w14:schemeClr w14:val="tx1"/>
                  </w14:solidFill>
                </w14:textFill>
              </w:rPr>
              <w:t>0.0097</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kg/h）。</w:t>
            </w:r>
          </w:p>
          <w:p w14:paraId="48FC37A5">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2</w:t>
            </w:r>
            <w:r>
              <w:rPr>
                <w:rFonts w:hint="eastAsia"/>
                <w:b/>
                <w:bCs/>
                <w:color w:val="000000" w:themeColor="text1"/>
                <w:sz w:val="24"/>
                <w:szCs w:val="24"/>
                <w:highlight w:val="none"/>
                <w14:textFill>
                  <w14:solidFill>
                    <w14:schemeClr w14:val="tx1"/>
                  </w14:solidFill>
                </w14:textFill>
              </w:rPr>
              <w:t>、骨料输送过程粉尘</w:t>
            </w:r>
          </w:p>
          <w:p w14:paraId="676546E6">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0F852D62">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砂、石等骨料经过料场内的料仓下的砂石称计量后通过皮带机输送投入搅拌主机。由于输送速度较慢（输送速度小于0.1m/s），且项目对整个生产区域进行密闭，基本不受外界风场的影响，因此，可不考虑输送过程中粉尘的产生。</w:t>
            </w:r>
          </w:p>
          <w:p w14:paraId="50BD2F5D">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（2）拟采取措施</w:t>
            </w:r>
          </w:p>
          <w:p w14:paraId="71F398B7">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项目对整个物料输送设置密闭的输送廊道，并在皮带输送进料口设置喷淋抑尘装置，有效抑制粉尘的排放。</w:t>
            </w:r>
          </w:p>
          <w:p w14:paraId="567CF33B">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3</w:t>
            </w:r>
            <w:r>
              <w:rPr>
                <w:rFonts w:hint="eastAsia"/>
                <w:b/>
                <w:bCs/>
                <w:color w:val="000000" w:themeColor="text1"/>
                <w:sz w:val="24"/>
                <w:szCs w:val="24"/>
                <w:highlight w:val="none"/>
                <w14:textFill>
                  <w14:solidFill>
                    <w14:schemeClr w14:val="tx1"/>
                  </w14:solidFill>
                </w14:textFill>
              </w:rPr>
              <w:t>、储料罐呼吸粉尘</w:t>
            </w:r>
          </w:p>
          <w:p w14:paraId="4610C506">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56AF9175">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水泥、粉煤灰、矿粉等粉剂原辅料通过运输车与相应料筒管道封闭直连，以压缩空气吹入形式进入相应储料罐，然后采取封闭螺旋输送机进行计量给料。空压机向料筒打料时仓顶呼吸口会产生粉尘。</w:t>
            </w:r>
          </w:p>
          <w:p w14:paraId="3647A96E">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根据《逸散性工业粉尘控制技术》中第二十二章混凝土分批搅拌厂-表 22-1 混凝土分批搅拌厂的逸散尘排放因子统计资料，贮仓排气粉尘排放因子为0.12kg/t，本项目粉剂（含</w:t>
            </w:r>
            <w:r>
              <w:rPr>
                <w:rFonts w:hint="eastAsia"/>
                <w:color w:val="000000" w:themeColor="text1"/>
                <w:sz w:val="24"/>
                <w:szCs w:val="24"/>
                <w:highlight w:val="none"/>
                <w:lang w:eastAsia="zh-CN"/>
                <w14:textFill>
                  <w14:solidFill>
                    <w14:schemeClr w14:val="tx1"/>
                  </w14:solidFill>
                </w14:textFill>
              </w:rPr>
              <w:t>水泥</w:t>
            </w:r>
            <w:r>
              <w:rPr>
                <w:rFonts w:hint="eastAsia"/>
                <w:color w:val="000000" w:themeColor="text1"/>
                <w:sz w:val="24"/>
                <w:szCs w:val="24"/>
                <w:highlight w:val="none"/>
                <w14:textFill>
                  <w14:solidFill>
                    <w14:schemeClr w14:val="tx1"/>
                  </w14:solidFill>
                </w14:textFill>
              </w:rPr>
              <w:t>、粉煤灰等）用量为</w:t>
            </w:r>
            <w:r>
              <w:rPr>
                <w:rFonts w:hint="eastAsia"/>
                <w:color w:val="000000" w:themeColor="text1"/>
                <w:sz w:val="24"/>
                <w:szCs w:val="24"/>
                <w:highlight w:val="none"/>
                <w:lang w:val="en-US" w:eastAsia="zh-CN"/>
                <w14:textFill>
                  <w14:solidFill>
                    <w14:schemeClr w14:val="tx1"/>
                  </w14:solidFill>
                </w14:textFill>
              </w:rPr>
              <w:t>15200</w:t>
            </w:r>
            <w:r>
              <w:rPr>
                <w:rFonts w:hint="eastAsia"/>
                <w:color w:val="000000" w:themeColor="text1"/>
                <w:sz w:val="24"/>
                <w:szCs w:val="24"/>
                <w:highlight w:val="none"/>
                <w14:textFill>
                  <w14:solidFill>
                    <w14:schemeClr w14:val="tx1"/>
                  </w14:solidFill>
                </w14:textFill>
              </w:rPr>
              <w:t>t/a，则粉尘产生量为</w:t>
            </w:r>
            <w:r>
              <w:rPr>
                <w:rFonts w:hint="eastAsia"/>
                <w:color w:val="000000" w:themeColor="text1"/>
                <w:sz w:val="24"/>
                <w:szCs w:val="24"/>
                <w:highlight w:val="none"/>
                <w:lang w:val="en-US" w:eastAsia="zh-CN"/>
                <w14:textFill>
                  <w14:solidFill>
                    <w14:schemeClr w14:val="tx1"/>
                  </w14:solidFill>
                </w14:textFill>
              </w:rPr>
              <w:t>1.824</w:t>
            </w:r>
            <w:r>
              <w:rPr>
                <w:rFonts w:hint="eastAsia"/>
                <w:color w:val="000000" w:themeColor="text1"/>
                <w:sz w:val="24"/>
                <w:szCs w:val="24"/>
                <w:highlight w:val="none"/>
                <w14:textFill>
                  <w14:solidFill>
                    <w14:schemeClr w14:val="tx1"/>
                  </w14:solidFill>
                </w14:textFill>
              </w:rPr>
              <w:t>t/a，</w:t>
            </w:r>
            <w:r>
              <w:rPr>
                <w:rFonts w:hint="eastAsia"/>
                <w:color w:val="000000" w:themeColor="text1"/>
                <w:sz w:val="24"/>
                <w:szCs w:val="24"/>
                <w:highlight w:val="none"/>
                <w:lang w:eastAsia="zh-CN"/>
                <w14:textFill>
                  <w14:solidFill>
                    <w14:schemeClr w14:val="tx1"/>
                  </w14:solidFill>
                </w14:textFill>
              </w:rPr>
              <w:t>平均</w:t>
            </w:r>
            <w:r>
              <w:rPr>
                <w:rFonts w:hint="eastAsia"/>
                <w:color w:val="000000" w:themeColor="text1"/>
                <w:sz w:val="24"/>
                <w:szCs w:val="24"/>
                <w:highlight w:val="none"/>
                <w14:textFill>
                  <w14:solidFill>
                    <w14:schemeClr w14:val="tx1"/>
                  </w14:solidFill>
                </w14:textFill>
              </w:rPr>
              <w:t>产生速率为</w:t>
            </w:r>
            <w:r>
              <w:rPr>
                <w:rFonts w:hint="eastAsia"/>
                <w:color w:val="000000" w:themeColor="text1"/>
                <w:sz w:val="24"/>
                <w:szCs w:val="24"/>
                <w:highlight w:val="none"/>
                <w:lang w:val="en-US" w:eastAsia="zh-CN"/>
                <w14:textFill>
                  <w14:solidFill>
                    <w14:schemeClr w14:val="tx1"/>
                  </w14:solidFill>
                </w14:textFill>
              </w:rPr>
              <w:t>0.5211</w:t>
            </w:r>
            <w:r>
              <w:rPr>
                <w:rFonts w:hint="eastAsia"/>
                <w:color w:val="000000" w:themeColor="text1"/>
                <w:sz w:val="24"/>
                <w:szCs w:val="24"/>
                <w:highlight w:val="none"/>
                <w14:textFill>
                  <w14:solidFill>
                    <w14:schemeClr w14:val="tx1"/>
                  </w14:solidFill>
                </w14:textFill>
              </w:rPr>
              <w:t>kg/h。</w:t>
            </w:r>
          </w:p>
          <w:p w14:paraId="720E3452">
            <w:pPr>
              <w:pStyle w:val="10"/>
              <w:keepNext w:val="0"/>
              <w:keepLines w:val="0"/>
              <w:pageBreakBefore w:val="0"/>
              <w:numPr>
                <w:ilvl w:val="0"/>
                <w:numId w:val="4"/>
              </w:numPr>
              <w:kinsoku/>
              <w:wordWrap/>
              <w:overflowPunct/>
              <w:topLinePunct w:val="0"/>
              <w:autoSpaceDE/>
              <w:autoSpaceDN/>
              <w:bidi w:val="0"/>
              <w:adjustRightInd w:val="0"/>
              <w:snapToGrid w:val="0"/>
              <w:spacing w:after="0" w:line="360" w:lineRule="auto"/>
              <w:ind w:left="0" w:leftChars="0" w:right="0" w:rightChars="0" w:firstLine="48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拟采取措施</w:t>
            </w:r>
          </w:p>
          <w:p w14:paraId="13B36DEE">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项目</w:t>
            </w:r>
            <w:r>
              <w:rPr>
                <w:rFonts w:hint="eastAsia"/>
                <w:color w:val="000000" w:themeColor="text1"/>
                <w:sz w:val="24"/>
                <w:szCs w:val="24"/>
                <w:highlight w:val="none"/>
                <w:lang w:eastAsia="zh-CN"/>
                <w14:textFill>
                  <w14:solidFill>
                    <w14:schemeClr w14:val="tx1"/>
                  </w14:solidFill>
                </w14:textFill>
              </w:rPr>
              <w:t>共设置</w:t>
            </w:r>
            <w:r>
              <w:rPr>
                <w:rFonts w:hint="eastAsia"/>
                <w:color w:val="000000" w:themeColor="text1"/>
                <w:sz w:val="24"/>
                <w:szCs w:val="24"/>
                <w:highlight w:val="none"/>
                <w:lang w:val="en-US" w:eastAsia="zh-CN"/>
                <w14:textFill>
                  <w14:solidFill>
                    <w14:schemeClr w14:val="tx1"/>
                  </w14:solidFill>
                </w14:textFill>
              </w:rPr>
              <w:t>10个粉料储罐，分别储存</w:t>
            </w:r>
            <w:r>
              <w:rPr>
                <w:rFonts w:hint="eastAsia"/>
                <w:color w:val="000000" w:themeColor="text1"/>
                <w:sz w:val="24"/>
                <w:szCs w:val="24"/>
                <w:highlight w:val="none"/>
                <w14:textFill>
                  <w14:solidFill>
                    <w14:schemeClr w14:val="tx1"/>
                  </w14:solidFill>
                </w14:textFill>
              </w:rPr>
              <w:t>水泥、粉煤灰等</w:t>
            </w:r>
            <w:r>
              <w:rPr>
                <w:rFonts w:hint="eastAsia"/>
                <w:color w:val="000000" w:themeColor="text1"/>
                <w:sz w:val="24"/>
                <w:szCs w:val="24"/>
                <w:highlight w:val="none"/>
                <w:lang w:eastAsia="zh-CN"/>
                <w14:textFill>
                  <w14:solidFill>
                    <w14:schemeClr w14:val="tx1"/>
                  </w14:solidFill>
                </w14:textFill>
              </w:rPr>
              <w:t>粉料状原材料。本</w:t>
            </w:r>
            <w:r>
              <w:rPr>
                <w:rFonts w:hint="default" w:ascii="Times New Roman" w:hAnsi="Times New Roman" w:cs="Times New Roman"/>
                <w:color w:val="000000" w:themeColor="text1"/>
                <w:sz w:val="24"/>
                <w:highlight w:val="none"/>
                <w14:textFill>
                  <w14:solidFill>
                    <w14:schemeClr w14:val="tx1"/>
                  </w14:solidFill>
                </w14:textFill>
              </w:rPr>
              <w:t>项目在筒仓放空口处安装自动衔接输料口，同时出料车辆接料口也相应配套自动衔接口，待每次放料结束后先关闭水泥筒仓放料口阀门，然后出料车辆才能行驶，如此不仅加强了输接料口的密封性，同时也减少了原料的损耗，从而降低了粉尘的排放量，同时，本项目对粉料筒仓进行全密闭</w:t>
            </w:r>
            <w:r>
              <w:rPr>
                <w:rFonts w:hint="default" w:ascii="Times New Roman" w:hAnsi="Times New Roman" w:cs="Times New Roman"/>
                <w:color w:val="000000" w:themeColor="text1"/>
                <w:sz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仓顶呼吸孔</w:t>
            </w:r>
            <w:r>
              <w:rPr>
                <w:rFonts w:hint="eastAsia"/>
                <w:color w:val="000000" w:themeColor="text1"/>
                <w:sz w:val="24"/>
                <w:szCs w:val="24"/>
                <w:highlight w:val="none"/>
                <w:lang w:eastAsia="zh-CN"/>
                <w14:textFill>
                  <w14:solidFill>
                    <w14:schemeClr w14:val="tx1"/>
                  </w14:solidFill>
                </w14:textFill>
              </w:rPr>
              <w:t>设置</w:t>
            </w:r>
            <w:r>
              <w:rPr>
                <w:rFonts w:hint="eastAsia"/>
                <w:color w:val="000000" w:themeColor="text1"/>
                <w:sz w:val="24"/>
                <w:szCs w:val="24"/>
                <w:highlight w:val="none"/>
                <w14:textFill>
                  <w14:solidFill>
                    <w14:schemeClr w14:val="tx1"/>
                  </w14:solidFill>
                </w14:textFill>
              </w:rPr>
              <w:t>一套仓顶除尘器</w:t>
            </w:r>
            <w:r>
              <w:rPr>
                <w:rFonts w:hint="eastAsia"/>
                <w:color w:val="000000" w:themeColor="text1"/>
                <w:sz w:val="24"/>
                <w:szCs w:val="24"/>
                <w:highlight w:val="none"/>
                <w:lang w:eastAsia="zh-CN"/>
                <w14:textFill>
                  <w14:solidFill>
                    <w14:schemeClr w14:val="tx1"/>
                  </w14:solidFill>
                </w14:textFill>
              </w:rPr>
              <w:t>（共</w:t>
            </w:r>
            <w:r>
              <w:rPr>
                <w:rFonts w:hint="eastAsia"/>
                <w:color w:val="000000" w:themeColor="text1"/>
                <w:sz w:val="24"/>
                <w:szCs w:val="24"/>
                <w:highlight w:val="none"/>
                <w:lang w:val="en-US" w:eastAsia="zh-CN"/>
                <w14:textFill>
                  <w14:solidFill>
                    <w14:schemeClr w14:val="tx1"/>
                  </w14:solidFill>
                </w14:textFill>
              </w:rPr>
              <w:t>10套</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，仓顶除尘器设置于筒仓仓顶，除尘器排气在密闭厂房中自然沉降后，以无组织方式排放。根据设备厂家提供的产品资料，仓顶除尘器的除尘效率设计为99.5%-99.9</w:t>
            </w:r>
            <w:r>
              <w:rPr>
                <w:rFonts w:hint="eastAsia"/>
                <w:color w:val="000000" w:themeColor="text1"/>
                <w:sz w:val="24"/>
                <w:szCs w:val="24"/>
                <w:highlight w:val="none"/>
                <w:lang w:val="en-US"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（本项目按最低除尘效率99.5%估算），则在除尘器正常工作的情况下，营运期筒仓顶呼吸孔粉尘排放量约为</w:t>
            </w:r>
            <w:r>
              <w:rPr>
                <w:rFonts w:hint="eastAsia"/>
                <w:color w:val="000000" w:themeColor="text1"/>
                <w:sz w:val="24"/>
                <w:szCs w:val="24"/>
                <w:highlight w:val="none"/>
                <w:lang w:val="en-US" w:eastAsia="zh-CN"/>
                <w14:textFill>
                  <w14:solidFill>
                    <w14:schemeClr w14:val="tx1"/>
                  </w14:solidFill>
                </w14:textFill>
              </w:rPr>
              <w:t>0.0091t/a</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平均</w:t>
            </w:r>
            <w:r>
              <w:rPr>
                <w:rFonts w:hint="eastAsia"/>
                <w:color w:val="000000" w:themeColor="text1"/>
                <w:sz w:val="24"/>
                <w:szCs w:val="24"/>
                <w:highlight w:val="none"/>
                <w14:textFill>
                  <w14:solidFill>
                    <w14:schemeClr w14:val="tx1"/>
                  </w14:solidFill>
                </w14:textFill>
              </w:rPr>
              <w:t>排放速率为</w:t>
            </w:r>
            <w:r>
              <w:rPr>
                <w:rFonts w:hint="eastAsia"/>
                <w:color w:val="000000" w:themeColor="text1"/>
                <w:sz w:val="24"/>
                <w:szCs w:val="24"/>
                <w:highlight w:val="none"/>
                <w:lang w:val="en-US" w:eastAsia="zh-CN"/>
                <w14:textFill>
                  <w14:solidFill>
                    <w14:schemeClr w14:val="tx1"/>
                  </w14:solidFill>
                </w14:textFill>
              </w:rPr>
              <w:t>0.0026</w:t>
            </w:r>
            <w:r>
              <w:rPr>
                <w:rFonts w:hint="eastAsia"/>
                <w:color w:val="000000" w:themeColor="text1"/>
                <w:sz w:val="24"/>
                <w:szCs w:val="24"/>
                <w:highlight w:val="none"/>
                <w14:textFill>
                  <w14:solidFill>
                    <w14:schemeClr w14:val="tx1"/>
                  </w14:solidFill>
                </w14:textFill>
              </w:rPr>
              <w:t>kg/h。</w:t>
            </w:r>
            <w:r>
              <w:rPr>
                <w:rFonts w:hint="default" w:ascii="Times New Roman" w:hAnsi="Times New Roman" w:cs="Times New Roman"/>
                <w:color w:val="000000" w:themeColor="text1"/>
                <w:sz w:val="24"/>
                <w:szCs w:val="22"/>
                <w:highlight w:val="none"/>
                <w:lang w:eastAsia="zh-CN"/>
                <w14:textFill>
                  <w14:solidFill>
                    <w14:schemeClr w14:val="tx1"/>
                  </w14:solidFill>
                </w14:textFill>
              </w:rPr>
              <w:t>每个筒仓顶部</w:t>
            </w:r>
            <w:r>
              <w:rPr>
                <w:rFonts w:hint="default" w:ascii="Times New Roman" w:hAnsi="Times New Roman" w:cs="Times New Roman"/>
                <w:color w:val="000000" w:themeColor="text1"/>
                <w:sz w:val="24"/>
                <w:szCs w:val="22"/>
                <w:highlight w:val="none"/>
                <w14:textFill>
                  <w14:solidFill>
                    <w14:schemeClr w14:val="tx1"/>
                  </w14:solidFill>
                </w14:textFill>
              </w:rPr>
              <w:t>单台除尘器风机风量</w:t>
            </w:r>
            <w:r>
              <w:rPr>
                <w:rFonts w:hint="eastAsia" w:cs="Times New Roman"/>
                <w:color w:val="000000" w:themeColor="text1"/>
                <w:sz w:val="24"/>
                <w:szCs w:val="22"/>
                <w:highlight w:val="none"/>
                <w:lang w:eastAsia="zh-CN"/>
                <w14:textFill>
                  <w14:solidFill>
                    <w14:schemeClr w14:val="tx1"/>
                  </w14:solidFill>
                </w14:textFill>
              </w:rPr>
              <w:t>约</w:t>
            </w:r>
            <w:r>
              <w:rPr>
                <w:rFonts w:hint="default" w:ascii="Times New Roman" w:hAnsi="Times New Roman" w:cs="Times New Roman"/>
                <w:color w:val="000000" w:themeColor="text1"/>
                <w:sz w:val="24"/>
                <w:szCs w:val="22"/>
                <w:highlight w:val="none"/>
                <w14:textFill>
                  <w14:solidFill>
                    <w14:schemeClr w14:val="tx1"/>
                  </w14:solidFill>
                </w14:textFill>
              </w:rPr>
              <w:t>为</w:t>
            </w:r>
            <w:r>
              <w:rPr>
                <w:rFonts w:hint="eastAsia" w:cs="Times New Roman"/>
                <w:color w:val="000000" w:themeColor="text1"/>
                <w:sz w:val="24"/>
                <w:szCs w:val="22"/>
                <w:highlight w:val="none"/>
                <w:lang w:val="en-US" w:eastAsia="zh-CN"/>
                <w14:textFill>
                  <w14:solidFill>
                    <w14:schemeClr w14:val="tx1"/>
                  </w14:solidFill>
                </w14:textFill>
              </w:rPr>
              <w:t>5</w:t>
            </w:r>
            <w:r>
              <w:rPr>
                <w:rFonts w:hint="default" w:ascii="Times New Roman" w:hAnsi="Times New Roman" w:cs="Times New Roman"/>
                <w:color w:val="000000" w:themeColor="text1"/>
                <w:sz w:val="24"/>
                <w:szCs w:val="22"/>
                <w:highlight w:val="none"/>
                <w14:textFill>
                  <w14:solidFill>
                    <w14:schemeClr w14:val="tx1"/>
                  </w14:solidFill>
                </w14:textFill>
              </w:rPr>
              <w:t>00m</w:t>
            </w:r>
            <w:r>
              <w:rPr>
                <w:rFonts w:hint="default" w:ascii="Times New Roman" w:hAnsi="Times New Roman" w:cs="Times New Roman"/>
                <w:color w:val="000000" w:themeColor="text1"/>
                <w:sz w:val="24"/>
                <w:szCs w:val="22"/>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2"/>
                <w:highlight w:val="none"/>
                <w14:textFill>
                  <w14:solidFill>
                    <w14:schemeClr w14:val="tx1"/>
                  </w14:solidFill>
                </w14:textFill>
              </w:rPr>
              <w:t>/h，</w:t>
            </w:r>
            <w:r>
              <w:rPr>
                <w:rFonts w:hint="eastAsia" w:cs="Times New Roman"/>
                <w:color w:val="000000" w:themeColor="text1"/>
                <w:sz w:val="24"/>
                <w:szCs w:val="22"/>
                <w:highlight w:val="none"/>
                <w:lang w:eastAsia="zh-CN"/>
                <w14:textFill>
                  <w14:solidFill>
                    <w14:schemeClr w14:val="tx1"/>
                  </w14:solidFill>
                </w14:textFill>
              </w:rPr>
              <w:t>则处理后筒仓呼吸</w:t>
            </w:r>
            <w:r>
              <w:rPr>
                <w:rFonts w:hint="eastAsia"/>
                <w:color w:val="000000" w:themeColor="text1"/>
                <w:sz w:val="24"/>
                <w:szCs w:val="24"/>
                <w:highlight w:val="none"/>
                <w14:textFill>
                  <w14:solidFill>
                    <w14:schemeClr w14:val="tx1"/>
                  </w14:solidFill>
                </w14:textFill>
              </w:rPr>
              <w:t>粉尘</w:t>
            </w:r>
            <w:r>
              <w:rPr>
                <w:rFonts w:hint="eastAsia"/>
                <w:color w:val="000000" w:themeColor="text1"/>
                <w:sz w:val="24"/>
                <w:szCs w:val="24"/>
                <w:highlight w:val="none"/>
                <w:lang w:eastAsia="zh-CN"/>
                <w14:textFill>
                  <w14:solidFill>
                    <w14:schemeClr w14:val="tx1"/>
                  </w14:solidFill>
                </w14:textFill>
              </w:rPr>
              <w:t>排放浓度为</w:t>
            </w:r>
            <w:r>
              <w:rPr>
                <w:rFonts w:hint="eastAsia"/>
                <w:color w:val="000000" w:themeColor="text1"/>
                <w:sz w:val="24"/>
                <w:szCs w:val="24"/>
                <w:highlight w:val="none"/>
                <w:lang w:val="en-US" w:eastAsia="zh-CN"/>
                <w14:textFill>
                  <w14:solidFill>
                    <w14:schemeClr w14:val="tx1"/>
                  </w14:solidFill>
                </w14:textFill>
              </w:rPr>
              <w:t>0.52</w:t>
            </w:r>
            <w:r>
              <w:rPr>
                <w:rFonts w:hint="default" w:ascii="Times New Roman" w:hAnsi="Times New Roman" w:cs="Times New Roman"/>
                <w:color w:val="000000" w:themeColor="text1"/>
                <w:sz w:val="24"/>
                <w:highlight w:val="none"/>
                <w14:textFill>
                  <w14:solidFill>
                    <w14:schemeClr w14:val="tx1"/>
                  </w14:solidFill>
                </w14:textFill>
              </w:rPr>
              <w:t>mg/m</w:t>
            </w:r>
            <w:r>
              <w:rPr>
                <w:rFonts w:hint="default" w:ascii="Times New Roman" w:hAnsi="Times New Roman" w:cs="Times New Roman"/>
                <w:color w:val="000000" w:themeColor="text1"/>
                <w:sz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，本项目各筒仓粉尘排放浓度能够满足</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四川省水泥工业大气污染物排放标准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（DB51 2864 -2021）中</w:t>
            </w:r>
            <w:r>
              <w:rPr>
                <w:rFonts w:hint="default" w:ascii="Times New Roman" w:hAnsi="Times New Roman" w:cs="Times New Roman"/>
                <w:color w:val="000000" w:themeColor="text1"/>
                <w:sz w:val="24"/>
                <w:highlight w:val="none"/>
                <w14:textFill>
                  <w14:solidFill>
                    <w14:schemeClr w14:val="tx1"/>
                  </w14:solidFill>
                </w14:textFill>
              </w:rPr>
              <w:t>表1大气污染物排放限值</w:t>
            </w:r>
            <w:r>
              <w:rPr>
                <w:rFonts w:hint="eastAsia" w:cs="Times New Roman"/>
                <w:color w:val="000000" w:themeColor="text1"/>
                <w:sz w:val="24"/>
                <w:highlight w:val="none"/>
                <w:lang w:eastAsia="zh-CN"/>
                <w14:textFill>
                  <w14:solidFill>
                    <w14:schemeClr w14:val="tx1"/>
                  </w14:solidFill>
                </w14:textFill>
              </w:rPr>
              <w:t>，</w:t>
            </w:r>
            <w:r>
              <w:rPr>
                <w:rFonts w:hint="default" w:ascii="Times New Roman" w:hAnsi="Times New Roman" w:cs="Times New Roman"/>
                <w:color w:val="000000" w:themeColor="text1"/>
                <w:sz w:val="24"/>
                <w:highlight w:val="none"/>
                <w14:textFill>
                  <w14:solidFill>
                    <w14:schemeClr w14:val="tx1"/>
                  </w14:solidFill>
                </w14:textFill>
              </w:rPr>
              <w:t>颗粒物：</w:t>
            </w:r>
            <w:r>
              <w:rPr>
                <w:rFonts w:hint="eastAsia" w:cs="Times New Roman"/>
                <w:color w:val="000000" w:themeColor="text1"/>
                <w:sz w:val="24"/>
                <w:highlight w:val="none"/>
                <w:lang w:val="en-US" w:eastAsia="zh-CN"/>
                <w14:textFill>
                  <w14:solidFill>
                    <w14:schemeClr w14:val="tx1"/>
                  </w14:solidFill>
                </w14:textFill>
              </w:rPr>
              <w:t>10</w:t>
            </w:r>
            <w:r>
              <w:rPr>
                <w:rFonts w:hint="default" w:ascii="Times New Roman" w:hAnsi="Times New Roman" w:cs="Times New Roman"/>
                <w:color w:val="000000" w:themeColor="text1"/>
                <w:sz w:val="24"/>
                <w:highlight w:val="none"/>
                <w14:textFill>
                  <w14:solidFill>
                    <w14:schemeClr w14:val="tx1"/>
                  </w14:solidFill>
                </w14:textFill>
              </w:rPr>
              <w:t>mg/m</w:t>
            </w:r>
            <w:r>
              <w:rPr>
                <w:rFonts w:hint="default" w:ascii="Times New Roman" w:hAnsi="Times New Roman" w:cs="Times New Roman"/>
                <w:color w:val="000000" w:themeColor="text1"/>
                <w:sz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w:t>
            </w:r>
          </w:p>
          <w:p w14:paraId="6160DE05">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4</w:t>
            </w:r>
            <w:r>
              <w:rPr>
                <w:rFonts w:hint="eastAsia"/>
                <w:b/>
                <w:bCs/>
                <w:color w:val="000000" w:themeColor="text1"/>
                <w:sz w:val="24"/>
                <w:szCs w:val="24"/>
                <w:highlight w:val="none"/>
                <w14:textFill>
                  <w14:solidFill>
                    <w14:schemeClr w14:val="tx1"/>
                  </w14:solidFill>
                </w14:textFill>
              </w:rPr>
              <w:t>、搅拌机搅拌粉尘</w:t>
            </w:r>
            <w:r>
              <w:rPr>
                <w:rFonts w:hint="eastAsia"/>
                <w:b/>
                <w:bCs/>
                <w:color w:val="000000" w:themeColor="text1"/>
                <w:sz w:val="24"/>
                <w:szCs w:val="24"/>
                <w:highlight w:val="none"/>
                <w:lang w:eastAsia="zh-CN"/>
                <w14:textFill>
                  <w14:solidFill>
                    <w14:schemeClr w14:val="tx1"/>
                  </w14:solidFill>
                </w14:textFill>
              </w:rPr>
              <w:t>（含投料粉尘）</w:t>
            </w:r>
          </w:p>
          <w:p w14:paraId="11103E46">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6C3D5FFC">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项目搅拌机拌料时需加水搅拌，由于物料含水率较髙，搅拌过程基本不产生粉尘，但泵送粉料落入搅拌机内时会产生少量的投料粉尘。</w:t>
            </w:r>
          </w:p>
          <w:p w14:paraId="112A36BC">
            <w:pPr>
              <w:widowControl w:val="0"/>
              <w:adjustRightInd/>
              <w:snapToGrid/>
              <w:spacing w:line="360" w:lineRule="auto"/>
              <w:ind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参照《全国第二次污染源普查工业源产排污系数手册》中“3021 水泥制品制造（含 3022 砼结构构件制造、3029 其他水泥类似制品制造）行业系数手册 ”进行核算，具体产污系数见表4-</w:t>
            </w: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p>
          <w:p w14:paraId="24E4191E">
            <w:pPr>
              <w:ind w:left="48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4-</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2 </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3021 水泥制品制造行业产排污系数表</w:t>
            </w:r>
          </w:p>
          <w:tbl>
            <w:tblPr>
              <w:tblStyle w:val="20"/>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42"/>
              <w:gridCol w:w="796"/>
              <w:gridCol w:w="1200"/>
              <w:gridCol w:w="1366"/>
              <w:gridCol w:w="900"/>
              <w:gridCol w:w="617"/>
              <w:gridCol w:w="733"/>
              <w:gridCol w:w="1234"/>
              <w:gridCol w:w="678"/>
            </w:tblGrid>
            <w:tr w14:paraId="1EBE34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7" w:type="pct"/>
                  <w:noWrap w:val="0"/>
                  <w:vAlign w:val="center"/>
                </w:tcPr>
                <w:p w14:paraId="0CD739F0">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工段名称</w:t>
                  </w:r>
                </w:p>
              </w:tc>
              <w:tc>
                <w:tcPr>
                  <w:tcW w:w="499" w:type="pct"/>
                  <w:noWrap w:val="0"/>
                  <w:vAlign w:val="center"/>
                </w:tcPr>
                <w:p w14:paraId="47DF27C6">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产品</w:t>
                  </w:r>
                </w:p>
                <w:p w14:paraId="1D1D97C3">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名称</w:t>
                  </w:r>
                </w:p>
              </w:tc>
              <w:tc>
                <w:tcPr>
                  <w:tcW w:w="753" w:type="pct"/>
                  <w:noWrap w:val="0"/>
                  <w:vAlign w:val="center"/>
                </w:tcPr>
                <w:p w14:paraId="40DD1E3F">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原料名称</w:t>
                  </w:r>
                </w:p>
              </w:tc>
              <w:tc>
                <w:tcPr>
                  <w:tcW w:w="857" w:type="pct"/>
                  <w:noWrap w:val="0"/>
                  <w:vAlign w:val="center"/>
                </w:tcPr>
                <w:p w14:paraId="1DAB933E">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工艺名称</w:t>
                  </w:r>
                </w:p>
              </w:tc>
              <w:tc>
                <w:tcPr>
                  <w:tcW w:w="564" w:type="pct"/>
                  <w:noWrap w:val="0"/>
                  <w:vAlign w:val="center"/>
                </w:tcPr>
                <w:p w14:paraId="7763B4DD">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规模等级</w:t>
                  </w:r>
                </w:p>
              </w:tc>
              <w:tc>
                <w:tcPr>
                  <w:tcW w:w="847" w:type="pct"/>
                  <w:gridSpan w:val="2"/>
                  <w:noWrap w:val="0"/>
                  <w:vAlign w:val="center"/>
                </w:tcPr>
                <w:p w14:paraId="437D00AC">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污染物指标</w:t>
                  </w:r>
                </w:p>
              </w:tc>
              <w:tc>
                <w:tcPr>
                  <w:tcW w:w="774" w:type="pct"/>
                  <w:noWrap w:val="0"/>
                  <w:vAlign w:val="center"/>
                </w:tcPr>
                <w:p w14:paraId="780E0E5C">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单位</w:t>
                  </w:r>
                </w:p>
              </w:tc>
              <w:tc>
                <w:tcPr>
                  <w:tcW w:w="425" w:type="pct"/>
                  <w:noWrap w:val="0"/>
                  <w:vAlign w:val="center"/>
                </w:tcPr>
                <w:p w14:paraId="0BD751B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产污</w:t>
                  </w:r>
                </w:p>
                <w:p w14:paraId="25A7DADA">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系数</w:t>
                  </w:r>
                </w:p>
              </w:tc>
            </w:tr>
            <w:tr w14:paraId="012D3B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7" w:type="pct"/>
                  <w:noWrap w:val="0"/>
                  <w:vAlign w:val="center"/>
                </w:tcPr>
                <w:p w14:paraId="72C81E41">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物料输送</w:t>
                  </w:r>
                </w:p>
              </w:tc>
              <w:tc>
                <w:tcPr>
                  <w:tcW w:w="499" w:type="pct"/>
                  <w:noWrap w:val="0"/>
                  <w:vAlign w:val="center"/>
                </w:tcPr>
                <w:p w14:paraId="2C1A041B">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混凝土制品</w:t>
                  </w:r>
                </w:p>
              </w:tc>
              <w:tc>
                <w:tcPr>
                  <w:tcW w:w="753" w:type="pct"/>
                  <w:noWrap w:val="0"/>
                  <w:vAlign w:val="center"/>
                </w:tcPr>
                <w:p w14:paraId="453D9FFA">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水泥、砂子、石子等</w:t>
                  </w:r>
                </w:p>
              </w:tc>
              <w:tc>
                <w:tcPr>
                  <w:tcW w:w="857" w:type="pct"/>
                  <w:noWrap w:val="0"/>
                  <w:vAlign w:val="center"/>
                </w:tcPr>
                <w:p w14:paraId="25F229A0">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物料混合搅拌</w:t>
                  </w:r>
                </w:p>
              </w:tc>
              <w:tc>
                <w:tcPr>
                  <w:tcW w:w="564" w:type="pct"/>
                  <w:noWrap w:val="0"/>
                  <w:vAlign w:val="center"/>
                </w:tcPr>
                <w:p w14:paraId="33A7FAB4">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eastAsia="zh-CN"/>
                      <w14:textFill>
                        <w14:solidFill>
                          <w14:schemeClr w14:val="tx1"/>
                        </w14:solidFill>
                      </w14:textFill>
                    </w:rPr>
                    <w:t>所有规模</w:t>
                  </w:r>
                </w:p>
              </w:tc>
              <w:tc>
                <w:tcPr>
                  <w:tcW w:w="387" w:type="pct"/>
                  <w:noWrap w:val="0"/>
                  <w:vAlign w:val="center"/>
                </w:tcPr>
                <w:p w14:paraId="19C6B290">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废气</w:t>
                  </w:r>
                </w:p>
              </w:tc>
              <w:tc>
                <w:tcPr>
                  <w:tcW w:w="460" w:type="pct"/>
                  <w:noWrap w:val="0"/>
                  <w:vAlign w:val="center"/>
                </w:tcPr>
                <w:p w14:paraId="14535A49">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颗粒物</w:t>
                  </w:r>
                </w:p>
              </w:tc>
              <w:tc>
                <w:tcPr>
                  <w:tcW w:w="774" w:type="pct"/>
                  <w:noWrap w:val="0"/>
                  <w:vAlign w:val="center"/>
                </w:tcPr>
                <w:p w14:paraId="108EF2B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千克/</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吨</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-产品</w:t>
                  </w:r>
                </w:p>
              </w:tc>
              <w:tc>
                <w:tcPr>
                  <w:tcW w:w="425" w:type="pct"/>
                  <w:noWrap w:val="0"/>
                  <w:vAlign w:val="center"/>
                </w:tcPr>
                <w:p w14:paraId="5EA3463F">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0.13</w:t>
                  </w:r>
                </w:p>
              </w:tc>
            </w:tr>
          </w:tbl>
          <w:p w14:paraId="34F15B5F">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default" w:ascii="Times New Roman" w:hAnsi="Times New Roman" w:cs="Times New Roman"/>
                <w:color w:val="000000" w:themeColor="text1"/>
                <w:sz w:val="24"/>
                <w:highlight w:val="none"/>
                <w:lang w:val="en-US" w:eastAsia="zh-CN"/>
                <w14:textFill>
                  <w14:solidFill>
                    <w14:schemeClr w14:val="tx1"/>
                  </w14:solidFill>
                </w14:textFill>
              </w:rPr>
              <w:t>参照表4-</w:t>
            </w:r>
            <w:r>
              <w:rPr>
                <w:rFonts w:hint="eastAsia" w:cs="Times New Roman"/>
                <w:color w:val="000000" w:themeColor="text1"/>
                <w:sz w:val="24"/>
                <w:highlight w:val="none"/>
                <w:lang w:val="en-US" w:eastAsia="zh-CN"/>
                <w14:textFill>
                  <w14:solidFill>
                    <w14:schemeClr w14:val="tx1"/>
                  </w14:solidFill>
                </w14:textFill>
              </w:rPr>
              <w:t>2</w:t>
            </w:r>
            <w:r>
              <w:rPr>
                <w:rFonts w:hint="default" w:ascii="Times New Roman" w:hAnsi="Times New Roman" w:cs="Times New Roman"/>
                <w:color w:val="000000" w:themeColor="text1"/>
                <w:sz w:val="24"/>
                <w:highlight w:val="none"/>
                <w:lang w:val="en-US" w:eastAsia="zh-CN"/>
                <w14:textFill>
                  <w14:solidFill>
                    <w14:schemeClr w14:val="tx1"/>
                  </w14:solidFill>
                </w14:textFill>
              </w:rPr>
              <w:t>，本项目</w:t>
            </w:r>
            <w:r>
              <w:rPr>
                <w:rFonts w:hint="eastAsia" w:cs="Times New Roman"/>
                <w:color w:val="000000" w:themeColor="text1"/>
                <w:sz w:val="24"/>
                <w:highlight w:val="none"/>
                <w:lang w:val="en-US" w:eastAsia="zh-CN"/>
                <w14:textFill>
                  <w14:solidFill>
                    <w14:schemeClr w14:val="tx1"/>
                  </w14:solidFill>
                </w14:textFill>
              </w:rPr>
              <w:t>年</w:t>
            </w:r>
            <w:r>
              <w:rPr>
                <w:rFonts w:hint="default" w:ascii="Times New Roman" w:hAnsi="Times New Roman" w:cs="Times New Roman"/>
                <w:color w:val="000000" w:themeColor="text1"/>
                <w:sz w:val="24"/>
                <w:highlight w:val="none"/>
                <w:lang w:val="en-US" w:eastAsia="zh-CN"/>
                <w14:textFill>
                  <w14:solidFill>
                    <w14:schemeClr w14:val="tx1"/>
                  </w14:solidFill>
                </w14:textFill>
              </w:rPr>
              <w:t>生产商品混凝土</w:t>
            </w:r>
            <w:r>
              <w:rPr>
                <w:rFonts w:hint="eastAsia" w:cs="Times New Roman"/>
                <w:color w:val="000000" w:themeColor="text1"/>
                <w:sz w:val="24"/>
                <w:highlight w:val="none"/>
                <w:lang w:val="en-US" w:eastAsia="zh-CN"/>
                <w14:textFill>
                  <w14:solidFill>
                    <w14:schemeClr w14:val="tx1"/>
                  </w14:solidFill>
                </w14:textFill>
              </w:rPr>
              <w:t>4.44</w:t>
            </w:r>
            <w:r>
              <w:rPr>
                <w:rFonts w:hint="default" w:ascii="Times New Roman" w:hAnsi="Times New Roman" w:cs="Times New Roman"/>
                <w:color w:val="000000" w:themeColor="text1"/>
                <w:sz w:val="24"/>
                <w:highlight w:val="none"/>
                <w:lang w:val="en-US" w:eastAsia="zh-CN"/>
                <w14:textFill>
                  <w14:solidFill>
                    <w14:schemeClr w14:val="tx1"/>
                  </w14:solidFill>
                </w14:textFill>
              </w:rPr>
              <w:t>万方（每方混凝土约2.</w:t>
            </w:r>
            <w:r>
              <w:rPr>
                <w:rFonts w:hint="eastAsia" w:cs="Times New Roman"/>
                <w:color w:val="000000" w:themeColor="text1"/>
                <w:sz w:val="24"/>
                <w:highlight w:val="none"/>
                <w:lang w:val="en-US" w:eastAsia="zh-CN"/>
                <w14:textFill>
                  <w14:solidFill>
                    <w14:schemeClr w14:val="tx1"/>
                  </w14:solidFill>
                </w14:textFill>
              </w:rPr>
              <w:t>4</w:t>
            </w:r>
            <w:r>
              <w:rPr>
                <w:rFonts w:hint="default" w:ascii="Times New Roman" w:hAnsi="Times New Roman" w:cs="Times New Roman"/>
                <w:color w:val="000000" w:themeColor="text1"/>
                <w:sz w:val="24"/>
                <w:highlight w:val="none"/>
                <w:lang w:val="en-US" w:eastAsia="zh-CN"/>
                <w14:textFill>
                  <w14:solidFill>
                    <w14:schemeClr w14:val="tx1"/>
                  </w14:solidFill>
                </w14:textFill>
              </w:rPr>
              <w:t>t，共折合混凝土</w:t>
            </w:r>
            <w:r>
              <w:rPr>
                <w:rFonts w:hint="eastAsia" w:cs="Times New Roman"/>
                <w:color w:val="000000" w:themeColor="text1"/>
                <w:sz w:val="24"/>
                <w:highlight w:val="none"/>
                <w:lang w:val="en-US" w:eastAsia="zh-CN"/>
                <w14:textFill>
                  <w14:solidFill>
                    <w14:schemeClr w14:val="tx1"/>
                  </w14:solidFill>
                </w14:textFill>
              </w:rPr>
              <w:t>10.656</w:t>
            </w:r>
            <w:r>
              <w:rPr>
                <w:rFonts w:hint="default" w:ascii="Times New Roman" w:hAnsi="Times New Roman" w:cs="Times New Roman"/>
                <w:color w:val="000000" w:themeColor="text1"/>
                <w:sz w:val="24"/>
                <w:highlight w:val="none"/>
                <w:lang w:val="en-US" w:eastAsia="zh-CN"/>
                <w14:textFill>
                  <w14:solidFill>
                    <w14:schemeClr w14:val="tx1"/>
                  </w14:solidFill>
                </w14:textFill>
              </w:rPr>
              <w:t>万吨/年），则本项目搅拌粉尘产生量约为</w:t>
            </w:r>
            <w:r>
              <w:rPr>
                <w:rFonts w:hint="eastAsia" w:cs="Times New Roman"/>
                <w:color w:val="000000" w:themeColor="text1"/>
                <w:sz w:val="24"/>
                <w:highlight w:val="none"/>
                <w:lang w:val="en-US" w:eastAsia="zh-CN"/>
                <w14:textFill>
                  <w14:solidFill>
                    <w14:schemeClr w14:val="tx1"/>
                  </w14:solidFill>
                </w14:textFill>
              </w:rPr>
              <w:t>13.8528</w:t>
            </w:r>
            <w:r>
              <w:rPr>
                <w:rFonts w:hint="default" w:ascii="Times New Roman" w:hAnsi="Times New Roman" w:cs="Times New Roman"/>
                <w:color w:val="000000" w:themeColor="text1"/>
                <w:sz w:val="24"/>
                <w:highlight w:val="none"/>
                <w:lang w:val="en-US" w:eastAsia="zh-CN"/>
                <w14:textFill>
                  <w14:solidFill>
                    <w14:schemeClr w14:val="tx1"/>
                  </w14:solidFill>
                </w14:textFill>
              </w:rPr>
              <w:t>t/a</w:t>
            </w:r>
            <w:r>
              <w:rPr>
                <w:rFonts w:hint="eastAsia" w:ascii="Times New Roman" w:hAnsi="Times New Roman" w:cs="Times New Roman"/>
                <w:color w:val="000000" w:themeColor="text1"/>
                <w:sz w:val="24"/>
                <w:highlight w:val="none"/>
                <w:lang w:val="en-US"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平均产生速率为3.9579</w:t>
            </w:r>
            <w:r>
              <w:rPr>
                <w:rFonts w:hint="eastAsia"/>
                <w:color w:val="000000" w:themeColor="text1"/>
                <w:sz w:val="24"/>
                <w:szCs w:val="24"/>
                <w:highlight w:val="none"/>
                <w14:textFill>
                  <w14:solidFill>
                    <w14:schemeClr w14:val="tx1"/>
                  </w14:solidFill>
                </w14:textFill>
              </w:rPr>
              <w:t>kg/h</w:t>
            </w:r>
            <w:r>
              <w:rPr>
                <w:color w:val="000000" w:themeColor="text1"/>
                <w:sz w:val="24"/>
                <w:szCs w:val="24"/>
                <w:highlight w:val="none"/>
                <w14:textFill>
                  <w14:solidFill>
                    <w14:schemeClr w14:val="tx1"/>
                  </w14:solidFill>
                </w14:textFill>
              </w:rPr>
              <w:t>。</w:t>
            </w:r>
          </w:p>
          <w:p w14:paraId="1B2BF434">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w:t>
            </w:r>
            <w:r>
              <w:rPr>
                <w:bCs/>
                <w:color w:val="000000" w:themeColor="text1"/>
                <w:sz w:val="24"/>
                <w:highlight w:val="none"/>
                <w14:textFill>
                  <w14:solidFill>
                    <w14:schemeClr w14:val="tx1"/>
                  </w14:solidFill>
                </w14:textFill>
              </w:rPr>
              <w:t>处理措施及排放量</w:t>
            </w:r>
          </w:p>
          <w:p w14:paraId="7EFD2D3F">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本项目搅拌机为密闭搅拌机，</w:t>
            </w:r>
            <w:r>
              <w:rPr>
                <w:rFonts w:hint="default" w:ascii="Times New Roman" w:hAnsi="Times New Roman" w:cs="Times New Roman"/>
                <w:color w:val="000000" w:themeColor="text1"/>
                <w:sz w:val="24"/>
                <w:highlight w:val="none"/>
                <w:lang w:val="en-US" w:eastAsia="zh-CN"/>
                <w14:textFill>
                  <w14:solidFill>
                    <w14:schemeClr w14:val="tx1"/>
                  </w14:solidFill>
                </w14:textFill>
              </w:rPr>
              <w:t>拌合楼均采用彩钢棚全封闭形式，</w:t>
            </w:r>
            <w:r>
              <w:rPr>
                <w:rFonts w:hint="default" w:ascii="Times New Roman" w:hAnsi="Times New Roman" w:cs="Times New Roman"/>
                <w:color w:val="000000" w:themeColor="text1"/>
                <w:sz w:val="24"/>
                <w:szCs w:val="22"/>
                <w:highlight w:val="none"/>
                <w14:textFill>
                  <w14:solidFill>
                    <w14:schemeClr w14:val="tx1"/>
                  </w14:solidFill>
                </w14:textFill>
              </w:rPr>
              <w:t>顶部设置有喷雾除尘装置</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搅拌系统</w:t>
            </w:r>
            <w:r>
              <w:rPr>
                <w:rFonts w:hint="eastAsia"/>
                <w:color w:val="000000" w:themeColor="text1"/>
                <w:sz w:val="24"/>
                <w:szCs w:val="24"/>
                <w:highlight w:val="none"/>
                <w:lang w:eastAsia="zh-CN"/>
                <w14:textFill>
                  <w14:solidFill>
                    <w14:schemeClr w14:val="tx1"/>
                  </w14:solidFill>
                </w14:textFill>
              </w:rPr>
              <w:t>均</w:t>
            </w:r>
            <w:r>
              <w:rPr>
                <w:rFonts w:hint="eastAsia"/>
                <w:color w:val="000000" w:themeColor="text1"/>
                <w:sz w:val="24"/>
                <w:szCs w:val="24"/>
                <w:highlight w:val="none"/>
                <w14:textFill>
                  <w14:solidFill>
                    <w14:schemeClr w14:val="tx1"/>
                  </w14:solidFill>
                </w14:textFill>
              </w:rPr>
              <w:t>配备一台布袋除尘器，粉尘经净化处理后以无组织方式排放。根据建设单位提供资料，除尘器在加强密封（本项目生产过程均为密闭操</w:t>
            </w:r>
            <w:r>
              <w:rPr>
                <w:color w:val="000000" w:themeColor="text1"/>
                <w:sz w:val="24"/>
                <w:szCs w:val="24"/>
                <w:highlight w:val="none"/>
                <w14:textFill>
                  <w14:solidFill>
                    <w14:schemeClr w14:val="tx1"/>
                  </w14:solidFill>
                </w14:textFill>
              </w:rPr>
              <w:t>作）的情况下集气效率可达</w:t>
            </w:r>
            <w:r>
              <w:rPr>
                <w:rFonts w:hint="eastAsia"/>
                <w:color w:val="000000" w:themeColor="text1"/>
                <w:sz w:val="24"/>
                <w:szCs w:val="24"/>
                <w:highlight w:val="none"/>
                <w:lang w:val="en-US" w:eastAsia="zh-CN"/>
                <w14:textFill>
                  <w14:solidFill>
                    <w14:schemeClr w14:val="tx1"/>
                  </w14:solidFill>
                </w14:textFill>
              </w:rPr>
              <w:t>99</w:t>
            </w:r>
            <w:r>
              <w:rPr>
                <w:color w:val="000000" w:themeColor="text1"/>
                <w:sz w:val="24"/>
                <w:szCs w:val="24"/>
                <w:highlight w:val="none"/>
                <w14:textFill>
                  <w14:solidFill>
                    <w14:schemeClr w14:val="tx1"/>
                  </w14:solidFill>
                </w14:textFill>
              </w:rPr>
              <w:t>%，除尘效率设计为</w:t>
            </w:r>
            <w:r>
              <w:rPr>
                <w:rFonts w:hint="eastAsia"/>
                <w:color w:val="000000" w:themeColor="text1"/>
                <w:sz w:val="24"/>
                <w:szCs w:val="24"/>
                <w:highlight w:val="none"/>
                <w14:textFill>
                  <w14:solidFill>
                    <w14:schemeClr w14:val="tx1"/>
                  </w14:solidFill>
                </w14:textFill>
              </w:rPr>
              <w:t>9</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%；同时，在封闭式</w:t>
            </w:r>
            <w:r>
              <w:rPr>
                <w:rFonts w:hint="eastAsia"/>
                <w:color w:val="000000" w:themeColor="text1"/>
                <w:sz w:val="24"/>
                <w:szCs w:val="24"/>
                <w:highlight w:val="none"/>
                <w:lang w:eastAsia="zh-CN"/>
                <w14:textFill>
                  <w14:solidFill>
                    <w14:schemeClr w14:val="tx1"/>
                  </w14:solidFill>
                </w14:textFill>
              </w:rPr>
              <w:t>搅拌楼</w:t>
            </w:r>
            <w:r>
              <w:rPr>
                <w:rFonts w:hint="eastAsia"/>
                <w:color w:val="000000" w:themeColor="text1"/>
                <w:sz w:val="24"/>
                <w:szCs w:val="24"/>
                <w:highlight w:val="none"/>
                <w14:textFill>
                  <w14:solidFill>
                    <w14:schemeClr w14:val="tx1"/>
                  </w14:solidFill>
                </w14:textFill>
              </w:rPr>
              <w:t>顶部安装喷淋装置洒水降尘，粉尘去除率可达</w:t>
            </w:r>
            <w:r>
              <w:rPr>
                <w:rFonts w:hint="eastAsia"/>
                <w:color w:val="000000" w:themeColor="text1"/>
                <w:sz w:val="24"/>
                <w:szCs w:val="24"/>
                <w:highlight w:val="none"/>
                <w:lang w:val="en-US" w:eastAsia="zh-CN"/>
                <w14:textFill>
                  <w14:solidFill>
                    <w14:schemeClr w14:val="tx1"/>
                  </w14:solidFill>
                </w14:textFill>
              </w:rPr>
              <w:t>70</w:t>
            </w:r>
            <w:r>
              <w:rPr>
                <w:rFonts w:hint="eastAsia"/>
                <w:color w:val="000000" w:themeColor="text1"/>
                <w:sz w:val="24"/>
                <w:szCs w:val="24"/>
                <w:highlight w:val="none"/>
                <w14:textFill>
                  <w14:solidFill>
                    <w14:schemeClr w14:val="tx1"/>
                  </w14:solidFill>
                </w14:textFill>
              </w:rPr>
              <w:t>%，</w:t>
            </w:r>
            <w:r>
              <w:rPr>
                <w:color w:val="000000" w:themeColor="text1"/>
                <w:sz w:val="24"/>
                <w:szCs w:val="24"/>
                <w:highlight w:val="none"/>
                <w14:textFill>
                  <w14:solidFill>
                    <w14:schemeClr w14:val="tx1"/>
                  </w14:solidFill>
                </w14:textFill>
              </w:rPr>
              <w:t>则粉尘排放量为</w:t>
            </w:r>
            <w:r>
              <w:rPr>
                <w:rFonts w:hint="eastAsia"/>
                <w:color w:val="000000" w:themeColor="text1"/>
                <w:sz w:val="24"/>
                <w:szCs w:val="24"/>
                <w:highlight w:val="none"/>
                <w:lang w:val="en-US" w:eastAsia="zh-CN"/>
                <w14:textFill>
                  <w14:solidFill>
                    <w14:schemeClr w14:val="tx1"/>
                  </w14:solidFill>
                </w14:textFill>
              </w:rPr>
              <w:t>0.0827</w:t>
            </w:r>
            <w:r>
              <w:rPr>
                <w:color w:val="000000" w:themeColor="text1"/>
                <w:sz w:val="24"/>
                <w:szCs w:val="24"/>
                <w:highlight w:val="none"/>
                <w14:textFill>
                  <w14:solidFill>
                    <w14:schemeClr w14:val="tx1"/>
                  </w14:solidFill>
                </w14:textFill>
              </w:rPr>
              <w:t>t</w:t>
            </w:r>
            <w:r>
              <w:rPr>
                <w:rFonts w:hint="eastAsia"/>
                <w:color w:val="000000" w:themeColor="text1"/>
                <w:sz w:val="24"/>
                <w:szCs w:val="24"/>
                <w:highlight w:val="none"/>
                <w14:textFill>
                  <w14:solidFill>
                    <w14:schemeClr w14:val="tx1"/>
                  </w14:solidFill>
                </w14:textFill>
              </w:rPr>
              <w:t>/a，</w:t>
            </w:r>
            <w:r>
              <w:rPr>
                <w:rFonts w:hint="eastAsia"/>
                <w:color w:val="000000" w:themeColor="text1"/>
                <w:sz w:val="24"/>
                <w:szCs w:val="24"/>
                <w:highlight w:val="none"/>
                <w:lang w:eastAsia="zh-CN"/>
                <w14:textFill>
                  <w14:solidFill>
                    <w14:schemeClr w14:val="tx1"/>
                  </w14:solidFill>
                </w14:textFill>
              </w:rPr>
              <w:t>平均</w:t>
            </w:r>
            <w:r>
              <w:rPr>
                <w:rFonts w:hint="eastAsia"/>
                <w:color w:val="000000" w:themeColor="text1"/>
                <w:sz w:val="24"/>
                <w:szCs w:val="24"/>
                <w:highlight w:val="none"/>
                <w14:textFill>
                  <w14:solidFill>
                    <w14:schemeClr w14:val="tx1"/>
                  </w14:solidFill>
                </w14:textFill>
              </w:rPr>
              <w:t>排放速率为</w:t>
            </w:r>
            <w:r>
              <w:rPr>
                <w:rFonts w:hint="eastAsia"/>
                <w:color w:val="000000" w:themeColor="text1"/>
                <w:sz w:val="24"/>
                <w:szCs w:val="24"/>
                <w:highlight w:val="none"/>
                <w:lang w:val="en-US" w:eastAsia="zh-CN"/>
                <w14:textFill>
                  <w14:solidFill>
                    <w14:schemeClr w14:val="tx1"/>
                  </w14:solidFill>
                </w14:textFill>
              </w:rPr>
              <w:t>0.0236</w:t>
            </w:r>
            <w:r>
              <w:rPr>
                <w:rFonts w:hint="eastAsia"/>
                <w:color w:val="000000" w:themeColor="text1"/>
                <w:sz w:val="24"/>
                <w:szCs w:val="24"/>
                <w:highlight w:val="none"/>
                <w14:textFill>
                  <w14:solidFill>
                    <w14:schemeClr w14:val="tx1"/>
                  </w14:solidFill>
                </w14:textFill>
              </w:rPr>
              <w:t>kg/h</w:t>
            </w:r>
            <w:r>
              <w:rPr>
                <w:color w:val="000000" w:themeColor="text1"/>
                <w:sz w:val="24"/>
                <w:szCs w:val="24"/>
                <w:highlight w:val="none"/>
                <w14:textFill>
                  <w14:solidFill>
                    <w14:schemeClr w14:val="tx1"/>
                  </w14:solidFill>
                </w14:textFill>
              </w:rPr>
              <w:t>。</w:t>
            </w:r>
          </w:p>
          <w:p w14:paraId="0B80153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5</w:t>
            </w:r>
            <w:r>
              <w:rPr>
                <w:rFonts w:hint="eastAsia"/>
                <w:b/>
                <w:bCs/>
                <w:color w:val="000000" w:themeColor="text1"/>
                <w:sz w:val="24"/>
                <w:szCs w:val="24"/>
                <w:highlight w:val="none"/>
                <w14:textFill>
                  <w14:solidFill>
                    <w14:schemeClr w14:val="tx1"/>
                  </w14:solidFill>
                </w14:textFill>
              </w:rPr>
              <w:t>、焊接烟尘</w:t>
            </w:r>
          </w:p>
          <w:p w14:paraId="5D0A62B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（1）产排污情况</w:t>
            </w:r>
          </w:p>
          <w:p w14:paraId="4BAA326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本项目焊接钢筋</w:t>
            </w:r>
            <w:r>
              <w:rPr>
                <w:rFonts w:hint="eastAsia"/>
                <w:color w:val="000000" w:themeColor="text1"/>
                <w:sz w:val="24"/>
                <w:szCs w:val="24"/>
                <w:highlight w:val="none"/>
                <w:lang w:eastAsia="zh-CN"/>
                <w14:textFill>
                  <w14:solidFill>
                    <w14:schemeClr w14:val="tx1"/>
                  </w14:solidFill>
                </w14:textFill>
              </w:rPr>
              <w:t>过程中会产生焊接烟气。</w:t>
            </w:r>
            <w:r>
              <w:rPr>
                <w:rFonts w:hint="eastAsia"/>
                <w:color w:val="000000" w:themeColor="text1"/>
                <w:sz w:val="24"/>
                <w:szCs w:val="24"/>
                <w:highlight w:val="none"/>
                <w14:textFill>
                  <w14:solidFill>
                    <w14:schemeClr w14:val="tx1"/>
                  </w14:solidFill>
                </w14:textFill>
              </w:rPr>
              <w:t>焊接烟气成分复杂，主要由金属及非金属在过热条件下产生的蒸发气体经氧化和冷凝而形成，其化学成分取决于焊接材料（焊丝、焊条、焊剂等）和被焊接材料的成分及其蒸发的难易，主要有Fe</w:t>
            </w:r>
            <w:r>
              <w:rPr>
                <w:rFonts w:hint="eastAsia"/>
                <w:color w:val="000000" w:themeColor="text1"/>
                <w:sz w:val="24"/>
                <w:szCs w:val="24"/>
                <w:highlight w:val="none"/>
                <w:vertAlign w:val="sub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O</w:t>
            </w:r>
            <w:r>
              <w:rPr>
                <w:rFonts w:hint="eastAsia"/>
                <w:color w:val="000000" w:themeColor="text1"/>
                <w:sz w:val="24"/>
                <w:szCs w:val="24"/>
                <w:highlight w:val="none"/>
                <w:vertAlign w:val="sub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、SiO</w:t>
            </w:r>
            <w:r>
              <w:rPr>
                <w:rFonts w:hint="eastAsia"/>
                <w:color w:val="000000" w:themeColor="text1"/>
                <w:sz w:val="24"/>
                <w:szCs w:val="24"/>
                <w:highlight w:val="none"/>
                <w:vertAlign w:val="sub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、MnO等一些金属氧化物。此外还有少量有害气体产生，主要是因高位电弧辐射电离空气中的氮、氧、二氧化碳等产生的NO</w:t>
            </w:r>
            <w:r>
              <w:rPr>
                <w:rFonts w:hint="eastAsia"/>
                <w:color w:val="000000" w:themeColor="text1"/>
                <w:sz w:val="24"/>
                <w:szCs w:val="24"/>
                <w:highlight w:val="none"/>
                <w:vertAlign w:val="subscript"/>
                <w14:textFill>
                  <w14:solidFill>
                    <w14:schemeClr w14:val="tx1"/>
                  </w14:solidFill>
                </w14:textFill>
              </w:rPr>
              <w:t>X</w:t>
            </w:r>
            <w:r>
              <w:rPr>
                <w:rFonts w:hint="eastAsia"/>
                <w:color w:val="000000" w:themeColor="text1"/>
                <w:sz w:val="24"/>
                <w:szCs w:val="24"/>
                <w:highlight w:val="none"/>
                <w14:textFill>
                  <w14:solidFill>
                    <w14:schemeClr w14:val="tx1"/>
                  </w14:solidFill>
                </w14:textFill>
              </w:rPr>
              <w:t>、CO等。</w:t>
            </w:r>
          </w:p>
          <w:p w14:paraId="53A538D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根据《第二次全国污染源普查产排污核算系数手册》--C33—C37行业核算环节 09焊接核算环节产污系数，焊接烟尘产生情况如下：</w:t>
            </w:r>
          </w:p>
          <w:p w14:paraId="5DF74E7E">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szCs w:val="21"/>
                <w:highlight w:val="none"/>
                <w14:textFill>
                  <w14:solidFill>
                    <w14:schemeClr w14:val="tx1"/>
                  </w14:solidFill>
                </w14:textFill>
              </w:rPr>
              <w:t>表</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4</w:t>
            </w:r>
            <w:r>
              <w:rPr>
                <w:rFonts w:hint="default" w:ascii="Times New Roman" w:hAnsi="Times New Roman" w:eastAsia="宋体" w:cs="Times New Roman"/>
                <w:b/>
                <w:color w:val="000000" w:themeColor="text1"/>
                <w:szCs w:val="21"/>
                <w:highlight w:val="none"/>
                <w14:textFill>
                  <w14:solidFill>
                    <w14:schemeClr w14:val="tx1"/>
                  </w14:solidFill>
                </w14:textFill>
              </w:rPr>
              <w:t>-</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3</w:t>
            </w:r>
            <w:r>
              <w:rPr>
                <w:rFonts w:hint="default" w:ascii="Times New Roman" w:hAnsi="Times New Roman" w:eastAsia="宋体" w:cs="Times New Roman"/>
                <w:b/>
                <w:color w:val="000000" w:themeColor="text1"/>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szCs w:val="21"/>
                <w:highlight w:val="none"/>
                <w14:textFill>
                  <w14:solidFill>
                    <w14:schemeClr w14:val="tx1"/>
                  </w14:solidFill>
                </w14:textFill>
              </w:rPr>
              <w:t>本项目铜质灯座焊接工序产污情况</w:t>
            </w:r>
          </w:p>
          <w:tbl>
            <w:tblPr>
              <w:tblStyle w:val="20"/>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574"/>
              <w:gridCol w:w="1093"/>
              <w:gridCol w:w="1071"/>
              <w:gridCol w:w="1175"/>
              <w:gridCol w:w="1175"/>
              <w:gridCol w:w="1033"/>
              <w:gridCol w:w="1846"/>
            </w:tblGrid>
            <w:tr w14:paraId="7B6780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574" w:type="dxa"/>
                  <w:noWrap w:val="0"/>
                  <w:tcMar>
                    <w:top w:w="0" w:type="dxa"/>
                    <w:left w:w="57" w:type="dxa"/>
                    <w:bottom w:w="0" w:type="dxa"/>
                    <w:right w:w="57" w:type="dxa"/>
                  </w:tcMar>
                  <w:vAlign w:val="center"/>
                </w:tcPr>
                <w:p w14:paraId="0D562334">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核算环节</w:t>
                  </w:r>
                </w:p>
              </w:tc>
              <w:tc>
                <w:tcPr>
                  <w:tcW w:w="1093" w:type="dxa"/>
                  <w:noWrap w:val="0"/>
                  <w:tcMar>
                    <w:top w:w="0" w:type="dxa"/>
                    <w:left w:w="57" w:type="dxa"/>
                    <w:bottom w:w="0" w:type="dxa"/>
                    <w:right w:w="57" w:type="dxa"/>
                  </w:tcMar>
                  <w:vAlign w:val="center"/>
                </w:tcPr>
                <w:p w14:paraId="0243E7B4">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原料名称</w:t>
                  </w:r>
                </w:p>
              </w:tc>
              <w:tc>
                <w:tcPr>
                  <w:tcW w:w="1071" w:type="dxa"/>
                  <w:noWrap w:val="0"/>
                  <w:tcMar>
                    <w:top w:w="0" w:type="dxa"/>
                    <w:left w:w="57" w:type="dxa"/>
                    <w:bottom w:w="0" w:type="dxa"/>
                    <w:right w:w="57" w:type="dxa"/>
                  </w:tcMar>
                  <w:vAlign w:val="center"/>
                </w:tcPr>
                <w:p w14:paraId="37FD23AB">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污染物</w:t>
                  </w:r>
                </w:p>
                <w:p w14:paraId="3C2F1C31">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指标类别</w:t>
                  </w:r>
                </w:p>
              </w:tc>
              <w:tc>
                <w:tcPr>
                  <w:tcW w:w="1175" w:type="dxa"/>
                  <w:noWrap w:val="0"/>
                  <w:tcMar>
                    <w:top w:w="0" w:type="dxa"/>
                    <w:left w:w="57" w:type="dxa"/>
                    <w:bottom w:w="0" w:type="dxa"/>
                    <w:right w:w="57" w:type="dxa"/>
                  </w:tcMar>
                  <w:vAlign w:val="center"/>
                </w:tcPr>
                <w:p w14:paraId="72078122">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eastAsia" w:ascii="Times New Roman" w:hAnsi="Times New Roman" w:eastAsia="宋体" w:cs="Times New Roman"/>
                      <w:b/>
                      <w:bCs w:val="0"/>
                      <w:color w:val="000000" w:themeColor="text1"/>
                      <w:szCs w:val="21"/>
                      <w:highlight w:val="none"/>
                      <w:lang w:eastAsia="zh-CN"/>
                      <w14:textFill>
                        <w14:solidFill>
                          <w14:schemeClr w14:val="tx1"/>
                        </w14:solidFill>
                      </w14:textFill>
                    </w:rPr>
                    <w:t>单位</w:t>
                  </w:r>
                </w:p>
              </w:tc>
              <w:tc>
                <w:tcPr>
                  <w:tcW w:w="1175" w:type="dxa"/>
                  <w:noWrap w:val="0"/>
                  <w:tcMar>
                    <w:top w:w="0" w:type="dxa"/>
                    <w:left w:w="57" w:type="dxa"/>
                    <w:bottom w:w="0" w:type="dxa"/>
                    <w:right w:w="57" w:type="dxa"/>
                  </w:tcMar>
                  <w:vAlign w:val="center"/>
                </w:tcPr>
                <w:p w14:paraId="41EE435C">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产污系数</w:t>
                  </w:r>
                </w:p>
              </w:tc>
              <w:tc>
                <w:tcPr>
                  <w:tcW w:w="1033" w:type="dxa"/>
                  <w:noWrap w:val="0"/>
                  <w:tcMar>
                    <w:top w:w="0" w:type="dxa"/>
                    <w:left w:w="57" w:type="dxa"/>
                    <w:bottom w:w="0" w:type="dxa"/>
                    <w:right w:w="57" w:type="dxa"/>
                  </w:tcMar>
                  <w:vAlign w:val="center"/>
                </w:tcPr>
                <w:p w14:paraId="5AF59225">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本项目原料用量（t）</w:t>
                  </w:r>
                </w:p>
              </w:tc>
              <w:tc>
                <w:tcPr>
                  <w:tcW w:w="1846" w:type="dxa"/>
                  <w:noWrap w:val="0"/>
                  <w:tcMar>
                    <w:top w:w="0" w:type="dxa"/>
                    <w:left w:w="57" w:type="dxa"/>
                    <w:bottom w:w="0" w:type="dxa"/>
                    <w:right w:w="57" w:type="dxa"/>
                  </w:tcMar>
                  <w:vAlign w:val="center"/>
                </w:tcPr>
                <w:p w14:paraId="43002141">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val="0"/>
                      <w:color w:val="000000" w:themeColor="text1"/>
                      <w:szCs w:val="21"/>
                      <w:highlight w:val="none"/>
                      <w14:textFill>
                        <w14:solidFill>
                          <w14:schemeClr w14:val="tx1"/>
                        </w14:solidFill>
                      </w14:textFill>
                    </w:rPr>
                    <w:t>污染物</w:t>
                  </w:r>
                  <w:r>
                    <w:rPr>
                      <w:rFonts w:hint="default" w:ascii="Times New Roman" w:hAnsi="Times New Roman" w:eastAsia="宋体" w:cs="Times New Roman"/>
                      <w:b/>
                      <w:bCs/>
                      <w:color w:val="000000" w:themeColor="text1"/>
                      <w:szCs w:val="21"/>
                      <w:highlight w:val="none"/>
                      <w14:textFill>
                        <w14:solidFill>
                          <w14:schemeClr w14:val="tx1"/>
                        </w14:solidFill>
                      </w14:textFill>
                    </w:rPr>
                    <w:t>产生量</w:t>
                  </w:r>
                  <w:r>
                    <w:rPr>
                      <w:rFonts w:hint="default" w:ascii="Times New Roman" w:hAnsi="Times New Roman" w:eastAsia="宋体" w:cs="Times New Roman"/>
                      <w:b/>
                      <w:bCs w:val="0"/>
                      <w:color w:val="000000" w:themeColor="text1"/>
                      <w:szCs w:val="21"/>
                      <w:highlight w:val="none"/>
                      <w14:textFill>
                        <w14:solidFill>
                          <w14:schemeClr w14:val="tx1"/>
                        </w14:solidFill>
                      </w14:textFill>
                    </w:rPr>
                    <w:t>(kg)</w:t>
                  </w:r>
                </w:p>
              </w:tc>
            </w:tr>
            <w:tr w14:paraId="78B758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03" w:hRule="atLeast"/>
                <w:jc w:val="center"/>
              </w:trPr>
              <w:tc>
                <w:tcPr>
                  <w:tcW w:w="574" w:type="dxa"/>
                  <w:noWrap w:val="0"/>
                  <w:tcMar>
                    <w:top w:w="0" w:type="dxa"/>
                    <w:left w:w="57" w:type="dxa"/>
                    <w:bottom w:w="0" w:type="dxa"/>
                    <w:right w:w="57" w:type="dxa"/>
                  </w:tcMar>
                  <w:vAlign w:val="center"/>
                </w:tcPr>
                <w:p w14:paraId="319A1EE6">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焊接</w:t>
                  </w:r>
                </w:p>
              </w:tc>
              <w:tc>
                <w:tcPr>
                  <w:tcW w:w="1093" w:type="dxa"/>
                  <w:noWrap w:val="0"/>
                  <w:tcMar>
                    <w:top w:w="0" w:type="dxa"/>
                    <w:left w:w="57" w:type="dxa"/>
                    <w:bottom w:w="0" w:type="dxa"/>
                    <w:right w:w="57" w:type="dxa"/>
                  </w:tcMar>
                  <w:vAlign w:val="center"/>
                </w:tcPr>
                <w:p w14:paraId="5BC3C615">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手工电弧焊（铜和铜合金焊条）</w:t>
                  </w:r>
                </w:p>
              </w:tc>
              <w:tc>
                <w:tcPr>
                  <w:tcW w:w="1071" w:type="dxa"/>
                  <w:noWrap w:val="0"/>
                  <w:tcMar>
                    <w:top w:w="0" w:type="dxa"/>
                    <w:left w:w="57" w:type="dxa"/>
                    <w:bottom w:w="0" w:type="dxa"/>
                    <w:right w:w="57" w:type="dxa"/>
                  </w:tcMar>
                  <w:vAlign w:val="center"/>
                </w:tcPr>
                <w:p w14:paraId="7770893B">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颗粒物</w:t>
                  </w:r>
                </w:p>
              </w:tc>
              <w:tc>
                <w:tcPr>
                  <w:tcW w:w="1175" w:type="dxa"/>
                  <w:noWrap w:val="0"/>
                  <w:tcMar>
                    <w:top w:w="0" w:type="dxa"/>
                    <w:left w:w="57" w:type="dxa"/>
                    <w:bottom w:w="0" w:type="dxa"/>
                    <w:right w:w="57" w:type="dxa"/>
                  </w:tcMar>
                  <w:vAlign w:val="center"/>
                </w:tcPr>
                <w:p w14:paraId="0A6D1EA0">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 w:val="0"/>
                      <w:bCs/>
                      <w:color w:val="000000" w:themeColor="text1"/>
                      <w:szCs w:val="21"/>
                      <w:highlight w:val="none"/>
                      <w14:textFill>
                        <w14:solidFill>
                          <w14:schemeClr w14:val="tx1"/>
                        </w14:solidFill>
                      </w14:textFill>
                    </w:rPr>
                    <w:t>kg/t·原料</w:t>
                  </w:r>
                </w:p>
              </w:tc>
              <w:tc>
                <w:tcPr>
                  <w:tcW w:w="1175" w:type="dxa"/>
                  <w:noWrap w:val="0"/>
                  <w:tcMar>
                    <w:top w:w="0" w:type="dxa"/>
                    <w:left w:w="57" w:type="dxa"/>
                    <w:bottom w:w="0" w:type="dxa"/>
                    <w:right w:w="57" w:type="dxa"/>
                  </w:tcMar>
                  <w:vAlign w:val="center"/>
                </w:tcPr>
                <w:p w14:paraId="786578D7">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20.2</w:t>
                  </w:r>
                </w:p>
              </w:tc>
              <w:tc>
                <w:tcPr>
                  <w:tcW w:w="1033" w:type="dxa"/>
                  <w:noWrap w:val="0"/>
                  <w:tcMar>
                    <w:top w:w="0" w:type="dxa"/>
                    <w:left w:w="57" w:type="dxa"/>
                    <w:bottom w:w="0" w:type="dxa"/>
                    <w:right w:w="57" w:type="dxa"/>
                  </w:tcMar>
                  <w:vAlign w:val="center"/>
                </w:tcPr>
                <w:p w14:paraId="24E8BB2C">
                  <w:pPr>
                    <w:adjustRightInd w:val="0"/>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2</w:t>
                  </w:r>
                </w:p>
              </w:tc>
              <w:tc>
                <w:tcPr>
                  <w:tcW w:w="1846" w:type="dxa"/>
                  <w:noWrap w:val="0"/>
                  <w:tcMar>
                    <w:top w:w="0" w:type="dxa"/>
                    <w:left w:w="57" w:type="dxa"/>
                    <w:bottom w:w="0" w:type="dxa"/>
                    <w:right w:w="57" w:type="dxa"/>
                  </w:tcMar>
                  <w:vAlign w:val="center"/>
                </w:tcPr>
                <w:p w14:paraId="1ADB0F28">
                  <w:pPr>
                    <w:adjustRightInd w:val="0"/>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40.4</w:t>
                  </w:r>
                </w:p>
              </w:tc>
            </w:tr>
          </w:tbl>
          <w:p w14:paraId="5B3B1B52">
            <w:pPr>
              <w:pStyle w:val="10"/>
              <w:keepNext w:val="0"/>
              <w:keepLines w:val="0"/>
              <w:pageBreakBefore w:val="0"/>
              <w:widowControl w:val="0"/>
              <w:kinsoku/>
              <w:wordWrap/>
              <w:overflowPunct/>
              <w:topLinePunct w:val="0"/>
              <w:autoSpaceDE/>
              <w:autoSpaceDN/>
              <w:bidi w:val="0"/>
              <w:adjustRightInd w:val="0"/>
              <w:snapToGrid w:val="0"/>
              <w:spacing w:before="126" w:beforeLines="40" w:after="0" w:line="450" w:lineRule="exact"/>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由上表可知，本项目焊接烟尘产生量为</w:t>
            </w:r>
            <w:r>
              <w:rPr>
                <w:rFonts w:hint="eastAsia"/>
                <w:color w:val="000000" w:themeColor="text1"/>
                <w:sz w:val="24"/>
                <w:szCs w:val="24"/>
                <w:highlight w:val="none"/>
                <w:lang w:val="en-US" w:eastAsia="zh-CN"/>
                <w14:textFill>
                  <w14:solidFill>
                    <w14:schemeClr w14:val="tx1"/>
                  </w14:solidFill>
                </w14:textFill>
              </w:rPr>
              <w:t>40.4kg/a，平均产生速率0.0115kg/h。</w:t>
            </w:r>
          </w:p>
          <w:p w14:paraId="357C31F8">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（2）治理措施</w:t>
            </w:r>
          </w:p>
          <w:p w14:paraId="78F0BAB3">
            <w:pPr>
              <w:keepNext w:val="0"/>
              <w:keepLines w:val="0"/>
              <w:pageBreakBefore w:val="0"/>
              <w:widowControl w:val="0"/>
              <w:kinsoku/>
              <w:wordWrap/>
              <w:overflowPunct/>
              <w:topLinePunct w:val="0"/>
              <w:autoSpaceDE/>
              <w:autoSpaceDN/>
              <w:bidi w:val="0"/>
              <w:adjustRightInd w:val="0"/>
              <w:snapToGrid w:val="0"/>
              <w:spacing w:line="450" w:lineRule="exact"/>
              <w:ind w:firstLine="480" w:firstLineChars="200"/>
              <w:textAlignment w:val="auto"/>
              <w:rPr>
                <w:rFonts w:hint="default" w:ascii="Times New Roman" w:hAnsi="Times New Roman" w:eastAsia="宋体" w:cs="Times New Roman"/>
                <w:b/>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本项目拟采取钢筋加工</w:t>
            </w:r>
            <w:r>
              <w:rPr>
                <w:rFonts w:hint="default" w:ascii="Times New Roman" w:hAnsi="Times New Roman" w:eastAsia="宋体" w:cs="Times New Roman"/>
                <w:color w:val="000000" w:themeColor="text1"/>
                <w:sz w:val="24"/>
                <w:szCs w:val="24"/>
                <w:highlight w:val="none"/>
                <w:lang w:bidi="ar"/>
                <w14:textFill>
                  <w14:solidFill>
                    <w14:schemeClr w14:val="tx1"/>
                  </w14:solidFill>
                </w14:textFill>
              </w:rPr>
              <w:t>车间</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内设置固定焊接区域，</w:t>
            </w:r>
            <w:r>
              <w:rPr>
                <w:rFonts w:hint="default" w:ascii="Times New Roman" w:hAnsi="Times New Roman" w:eastAsia="宋体" w:cs="Times New Roman"/>
                <w:color w:val="000000" w:themeColor="text1"/>
                <w:sz w:val="24"/>
                <w:szCs w:val="24"/>
                <w:highlight w:val="none"/>
                <w:lang w:bidi="ar"/>
                <w14:textFill>
                  <w14:solidFill>
                    <w14:schemeClr w14:val="tx1"/>
                  </w14:solidFill>
                </w14:textFill>
              </w:rPr>
              <w:t>内</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设置</w:t>
            </w:r>
            <w:r>
              <w:rPr>
                <w:rFonts w:hint="eastAsia" w:ascii="Times New Roman" w:hAnsi="Times New Roman" w:eastAsia="宋体" w:cs="Times New Roman"/>
                <w:color w:val="000000" w:themeColor="text1"/>
                <w:sz w:val="24"/>
                <w:szCs w:val="24"/>
                <w:highlight w:val="none"/>
                <w:lang w:val="en-US" w:eastAsia="zh-CN" w:bidi="ar"/>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台移动式焊烟净化器，焊接烟尘经集气口收集进入净化器内部</w:t>
            </w:r>
            <w:r>
              <w:rPr>
                <w:rFonts w:hint="default" w:ascii="Times New Roman" w:hAnsi="Times New Roman" w:eastAsia="宋体" w:cs="Times New Roman"/>
                <w:color w:val="000000" w:themeColor="text1"/>
                <w:sz w:val="24"/>
                <w:szCs w:val="24"/>
                <w:highlight w:val="none"/>
                <w:lang w:bidi="ar"/>
                <w14:textFill>
                  <w14:solidFill>
                    <w14:schemeClr w14:val="tx1"/>
                  </w14:solidFill>
                </w14:textFill>
              </w:rPr>
              <w:t>处理后</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于车间内无组织排放</w:t>
            </w:r>
            <w:r>
              <w:rPr>
                <w:rFonts w:hint="default" w:ascii="Times New Roman" w:hAnsi="Times New Roman" w:eastAsia="宋体" w:cs="Times New Roman"/>
                <w:color w:val="000000" w:themeColor="text1"/>
                <w:sz w:val="24"/>
                <w:szCs w:val="21"/>
                <w:highlight w:val="none"/>
                <w:lang w:bidi="ar"/>
                <w14:textFill>
                  <w14:solidFill>
                    <w14:schemeClr w14:val="tx1"/>
                  </w14:solidFill>
                </w14:textFill>
              </w:rPr>
              <w:t>。</w:t>
            </w:r>
          </w:p>
          <w:p w14:paraId="09B9CB57">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移动</w:t>
            </w: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式</w:t>
            </w:r>
            <w:r>
              <w:rPr>
                <w:rFonts w:hint="eastAsia"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焊烟</w:t>
            </w: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净化器净化原理：</w:t>
            </w:r>
            <w:r>
              <w:rPr>
                <w:rFonts w:hint="default" w:ascii="Times New Roman" w:hAnsi="Times New Roman" w:eastAsia="宋体" w:cs="Times New Roman"/>
                <w:b w:val="0"/>
                <w:bCs/>
                <w:color w:val="000000" w:themeColor="text1"/>
                <w:kern w:val="0"/>
                <w:sz w:val="24"/>
                <w:szCs w:val="24"/>
                <w:highlight w:val="none"/>
                <w:lang w:val="en-US" w:eastAsia="zh-CN" w:bidi="ar-SA"/>
                <w14:textFill>
                  <w14:solidFill>
                    <w14:schemeClr w14:val="tx1"/>
                  </w14:solidFill>
                </w14:textFill>
              </w:rPr>
              <w:t>移动式焊烟净化器是专为治理焊接作业时产生烟尘、粉尘、有毒气体而开发的一款工业环保设备，它广泛应用于各种焊接、抛光打磨、化学品生产等场所。其工作原理是：内部高压风机在吸气臂罩口处形成负压区域，焊接烟尘负压的作用下由吸气臂进入焊烟净化器设备主体，进风口处阻火器阻留焊接火花，烟尘气体进入焊烟净化器设备主体净化室，高效过滤芯将微小烟雾粉尘颗粒过滤在焊烟净化器设备净化室内，过滤后的气体进入焊烟净化器设备洁净室，经过滤器进一步吸附净化后经出风口排出。</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移动式焊烟净化器集气效率为80%，</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焊接烟尘净化效率为9</w:t>
            </w: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p>
          <w:p w14:paraId="39361795">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450" w:lineRule="exact"/>
              <w:ind w:leftChars="0" w:right="0" w:rightChars="0" w:firstLine="480" w:firstLineChars="200"/>
              <w:textAlignment w:val="auto"/>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焊接烟尘</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排放量（无组织排放）：</w:t>
            </w:r>
            <w:r>
              <w:rPr>
                <w:rFonts w:hint="eastAsia" w:cs="Times New Roman"/>
                <w:color w:val="000000" w:themeColor="text1"/>
                <w:sz w:val="24"/>
                <w:szCs w:val="24"/>
                <w:highlight w:val="none"/>
                <w:lang w:val="en-US" w:eastAsia="zh-CN"/>
                <w14:textFill>
                  <w14:solidFill>
                    <w14:schemeClr w14:val="tx1"/>
                  </w14:solidFill>
                </w14:textFill>
              </w:rPr>
              <w:t>40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40.4</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9.696</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a，</w:t>
            </w:r>
            <w:r>
              <w:rPr>
                <w:rFonts w:hint="eastAsia" w:cs="Times New Roman"/>
                <w:color w:val="000000" w:themeColor="text1"/>
                <w:sz w:val="24"/>
                <w:szCs w:val="24"/>
                <w:highlight w:val="none"/>
                <w:vertAlign w:val="baseline"/>
                <w:lang w:val="en-US" w:eastAsia="zh-CN"/>
                <w14:textFill>
                  <w14:solidFill>
                    <w14:schemeClr w14:val="tx1"/>
                  </w14:solidFill>
                </w14:textFill>
              </w:rPr>
              <w:t>平均0.0277</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kg/d、0.00</w:t>
            </w:r>
            <w:r>
              <w:rPr>
                <w:rFonts w:hint="eastAsia" w:cs="Times New Roman"/>
                <w:color w:val="000000" w:themeColor="text1"/>
                <w:sz w:val="24"/>
                <w:szCs w:val="24"/>
                <w:highlight w:val="none"/>
                <w:vertAlign w:val="baseline"/>
                <w:lang w:val="en-US" w:eastAsia="zh-CN"/>
                <w14:textFill>
                  <w14:solidFill>
                    <w14:schemeClr w14:val="tx1"/>
                  </w14:solidFill>
                </w14:textFill>
              </w:rPr>
              <w:t>28</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kg/h</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p>
          <w:p w14:paraId="696E4FFA">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450" w:lineRule="exact"/>
              <w:ind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6、</w:t>
            </w:r>
            <w:r>
              <w:rPr>
                <w:rFonts w:hint="eastAsia"/>
                <w:b/>
                <w:bCs/>
                <w:color w:val="000000" w:themeColor="text1"/>
                <w:sz w:val="24"/>
                <w:szCs w:val="24"/>
                <w:highlight w:val="none"/>
                <w14:textFill>
                  <w14:solidFill>
                    <w14:schemeClr w14:val="tx1"/>
                  </w14:solidFill>
                </w14:textFill>
              </w:rPr>
              <w:t>汽车运输扬尘</w:t>
            </w:r>
          </w:p>
          <w:p w14:paraId="29F2365E">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w:t>
            </w:r>
            <w:r>
              <w:rPr>
                <w:bCs/>
                <w:color w:val="000000" w:themeColor="text1"/>
                <w:sz w:val="24"/>
                <w:highlight w:val="none"/>
                <w14:textFill>
                  <w14:solidFill>
                    <w14:schemeClr w14:val="tx1"/>
                  </w14:solidFill>
                </w14:textFill>
              </w:rPr>
              <w:t>产排污情况</w:t>
            </w:r>
          </w:p>
          <w:p w14:paraId="7CA5E340">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本项目运输产生废气污染物主要为道路扬尘，根据上海港环境保护中心和武汉水运工程学院提出的经验公式估算，汽车扬尘计算公式如下：</w:t>
            </w:r>
          </w:p>
          <w:p w14:paraId="4F454E5C">
            <w:pPr>
              <w:pStyle w:val="10"/>
              <w:keepNext w:val="0"/>
              <w:keepLines w:val="0"/>
              <w:pageBreakBefore w:val="0"/>
              <w:widowControl w:val="0"/>
              <w:tabs>
                <w:tab w:val="left" w:pos="3360"/>
              </w:tabs>
              <w:kinsoku/>
              <w:wordWrap/>
              <w:overflowPunct/>
              <w:topLinePunct w:val="0"/>
              <w:autoSpaceDE/>
              <w:autoSpaceDN/>
              <w:bidi w:val="0"/>
              <w:adjustRightInd w:val="0"/>
              <w:snapToGrid w:val="0"/>
              <w:spacing w:after="0" w:line="450" w:lineRule="exact"/>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position w:val="-14"/>
                <w:sz w:val="24"/>
                <w:szCs w:val="24"/>
                <w:highlight w:val="none"/>
                <w14:textFill>
                  <w14:solidFill>
                    <w14:schemeClr w14:val="tx1"/>
                  </w14:solidFill>
                </w14:textFill>
              </w:rPr>
              <w:object>
                <v:shape id="_x0000_i1030" o:spt="75" type="#_x0000_t75" style="height:20pt;width:238pt;" o:ole="t" filled="f" o:preferrelative="t" stroked="f" coordsize="21600,21600">
                  <v:path/>
                  <v:fill on="f" focussize="0,0"/>
                  <v:stroke on="f" joinstyle="miter"/>
                  <v:imagedata r:id="rId27" o:title=""/>
                  <o:lock v:ext="edit" aspectratio="t"/>
                  <w10:wrap type="none"/>
                  <w10:anchorlock/>
                </v:shape>
                <o:OLEObject Type="Embed" ProgID="Equation.KSEE3" ShapeID="_x0000_i1030" DrawAspect="Content" ObjectID="_1468075730" r:id="rId26">
                  <o:LockedField>false</o:LockedField>
                </o:OLEObject>
              </w:object>
            </w:r>
          </w:p>
          <w:p w14:paraId="33D1D5D4">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w:t>
            </w:r>
            <w:r>
              <w:rPr>
                <w:rFonts w:hint="eastAsia"/>
                <w:color w:val="000000" w:themeColor="text1"/>
                <w:sz w:val="24"/>
                <w:szCs w:val="24"/>
                <w:highlight w:val="none"/>
                <w:vertAlign w:val="subscript"/>
                <w14:textFill>
                  <w14:solidFill>
                    <w14:schemeClr w14:val="tx1"/>
                  </w14:solidFill>
                </w14:textFill>
              </w:rPr>
              <w:t>p</w:t>
            </w:r>
            <w:r>
              <w:rPr>
                <w:rFonts w:hint="eastAsia"/>
                <w:color w:val="000000" w:themeColor="text1"/>
                <w:sz w:val="24"/>
                <w:szCs w:val="24"/>
                <w:highlight w:val="none"/>
                <w14:textFill>
                  <w14:solidFill>
                    <w14:schemeClr w14:val="tx1"/>
                  </w14:solidFill>
                </w14:textFill>
              </w:rPr>
              <w:t>——汽车扬尘量，kg/辆；</w:t>
            </w:r>
          </w:p>
          <w:p w14:paraId="02D17468">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V——汽车速度，km/h；</w:t>
            </w:r>
          </w:p>
          <w:p w14:paraId="3EFA1D48">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M——汽车载重量，t；</w:t>
            </w:r>
          </w:p>
          <w:p w14:paraId="5A406AA5">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P ——道路表面粉尘量，kg/m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70F4B1B1">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L——道路长度，km。</w:t>
            </w:r>
          </w:p>
          <w:p w14:paraId="077A0F07">
            <w:pPr>
              <w:keepNext w:val="0"/>
              <w:keepLines w:val="0"/>
              <w:pageBreakBefore w:val="0"/>
              <w:widowControl w:val="0"/>
              <w:kinsoku/>
              <w:wordWrap/>
              <w:overflowPunct/>
              <w:topLinePunct w:val="0"/>
              <w:autoSpaceDE/>
              <w:autoSpaceDN/>
              <w:bidi w:val="0"/>
              <w:adjustRightInd w:val="0"/>
              <w:snapToGrid w:val="0"/>
              <w:spacing w:line="450" w:lineRule="exact"/>
              <w:ind w:firstLine="480" w:firstLineChars="200"/>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①</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成品运输：</w:t>
            </w:r>
            <w:r>
              <w:rPr>
                <w:rFonts w:hint="default" w:ascii="Times New Roman" w:hAnsi="Times New Roman" w:eastAsia="宋体" w:cs="Times New Roman"/>
                <w:color w:val="000000" w:themeColor="text1"/>
                <w:sz w:val="24"/>
                <w:szCs w:val="22"/>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共配备混凝土运输罐车</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0辆</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，混凝土装载量为10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/车，本项目生产商品混凝土</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4440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其中3420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a通过混凝土罐车拉运至施工现场，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混凝土罐车</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15</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加工钢筋结构件2800t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其中118t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加工预制梁约288片</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/d。则本项目单日最多成品运输车次约为18</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0557105B">
            <w:pPr>
              <w:keepNext w:val="0"/>
              <w:keepLines w:val="0"/>
              <w:pageBreakBefore w:val="0"/>
              <w:widowControl w:val="0"/>
              <w:kinsoku/>
              <w:wordWrap/>
              <w:overflowPunct/>
              <w:topLinePunct w:val="0"/>
              <w:autoSpaceDE/>
              <w:autoSpaceDN/>
              <w:bidi w:val="0"/>
              <w:adjustRightInd w:val="0"/>
              <w:snapToGrid w:val="0"/>
              <w:spacing w:line="450" w:lineRule="exact"/>
              <w:ind w:leftChars="0" w:firstLine="480" w:firstLineChars="20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②</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原料运输：</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84500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8</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；原料水泥、粉煤灰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年用量共计15200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t计算，</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水泥</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、粉煤灰运输车辆约为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其他钢筋等辅料单日最</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多</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运输车次为2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则本项目单日最多原料运输车次约为12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2F8CDE16">
            <w:pPr>
              <w:keepNext w:val="0"/>
              <w:keepLines w:val="0"/>
              <w:pageBreakBefore w:val="0"/>
              <w:widowControl w:val="0"/>
              <w:kinsoku/>
              <w:wordWrap/>
              <w:overflowPunct/>
              <w:topLinePunct w:val="0"/>
              <w:autoSpaceDE/>
              <w:autoSpaceDN/>
              <w:bidi w:val="0"/>
              <w:adjustRightInd w:val="0"/>
              <w:snapToGrid w:val="0"/>
              <w:spacing w:line="450" w:lineRule="exact"/>
              <w:ind w:leftChars="0" w:firstLine="480" w:firstLineChars="200"/>
              <w:jc w:val="both"/>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本项目车辆在厂区内行驶距离</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空车、载重车各</w:t>
            </w:r>
            <w:r>
              <w:rPr>
                <w:rFonts w:hint="default" w:ascii="Times New Roman" w:hAnsi="Times New Roman" w:eastAsia="宋体" w:cs="Times New Roman"/>
                <w:color w:val="000000" w:themeColor="text1"/>
                <w:sz w:val="24"/>
                <w:szCs w:val="24"/>
                <w:highlight w:val="none"/>
                <w14:textFill>
                  <w14:solidFill>
                    <w14:schemeClr w14:val="tx1"/>
                  </w14:solidFill>
                </w14:textFill>
              </w:rPr>
              <w:t>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14:textFill>
                  <w14:solidFill>
                    <w14:schemeClr w14:val="tx1"/>
                  </w14:solidFill>
                </w14:textFill>
              </w:rPr>
              <w:t>计，以速度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km/h</w:t>
            </w:r>
            <w:r>
              <w:rPr>
                <w:rFonts w:hint="default" w:ascii="Times New Roman" w:hAnsi="Times New Roman" w:eastAsia="宋体" w:cs="Times New Roman"/>
                <w:color w:val="000000" w:themeColor="text1"/>
                <w:sz w:val="24"/>
                <w:szCs w:val="24"/>
                <w:highlight w:val="none"/>
                <w14:textFill>
                  <w14:solidFill>
                    <w14:schemeClr w14:val="tx1"/>
                  </w14:solidFill>
                </w14:textFill>
              </w:rPr>
              <w:t>行驶，厂区道路表面粉尘量按</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0.4kg/m</w:t>
            </w:r>
            <w:r>
              <w:rPr>
                <w:rFonts w:hint="default" w:ascii="Times New Roman" w:hAnsi="Times New Roman" w:eastAsia="TimesNewRomanPSMT" w:cs="Times New Roman"/>
                <w:color w:val="000000" w:themeColor="text1"/>
                <w:sz w:val="24"/>
                <w:szCs w:val="24"/>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计。</w:t>
            </w:r>
          </w:p>
          <w:p w14:paraId="289135AD">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则</w:t>
            </w:r>
            <w:r>
              <w:rPr>
                <w:rFonts w:hint="eastAsia" w:cs="Times New Roman"/>
                <w:color w:val="000000" w:themeColor="text1"/>
                <w:sz w:val="24"/>
                <w:szCs w:val="24"/>
                <w:highlight w:val="none"/>
                <w:lang w:val="en-US" w:eastAsia="zh-CN"/>
                <w14:textFill>
                  <w14:solidFill>
                    <w14:schemeClr w14:val="tx1"/>
                  </w14:solidFill>
                </w14:textFill>
              </w:rPr>
              <w:t>1）混凝土罐车</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空车</w:t>
            </w:r>
            <w:r>
              <w:rPr>
                <w:rFonts w:hint="eastAsia" w:cs="Times New Roman"/>
                <w:color w:val="000000" w:themeColor="text1"/>
                <w:sz w:val="24"/>
                <w:szCs w:val="24"/>
                <w:highlight w:val="none"/>
                <w:lang w:val="en-US" w:eastAsia="zh-CN"/>
                <w14:textFill>
                  <w14:solidFill>
                    <w14:schemeClr w14:val="tx1"/>
                  </w14:solidFill>
                </w14:textFill>
              </w:rPr>
              <w:t>自重约16t，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运输扬尘产生量为0.</w:t>
            </w:r>
            <w:r>
              <w:rPr>
                <w:rFonts w:hint="eastAsia" w:cs="Times New Roman"/>
                <w:color w:val="000000" w:themeColor="text1"/>
                <w:sz w:val="24"/>
                <w:szCs w:val="24"/>
                <w:highlight w:val="none"/>
                <w:lang w:val="en-US" w:eastAsia="zh-CN"/>
                <w14:textFill>
                  <w14:solidFill>
                    <w14:schemeClr w14:val="tx1"/>
                  </w14:solidFill>
                </w14:textFill>
              </w:rPr>
              <w:t>2601</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；载重车</w:t>
            </w:r>
            <w:r>
              <w:rPr>
                <w:rFonts w:hint="eastAsia" w:cs="Times New Roman"/>
                <w:color w:val="000000" w:themeColor="text1"/>
                <w:sz w:val="24"/>
                <w:szCs w:val="24"/>
                <w:highlight w:val="none"/>
                <w:lang w:val="en-US" w:eastAsia="zh-CN"/>
                <w14:textFill>
                  <w14:solidFill>
                    <w14:schemeClr w14:val="tx1"/>
                  </w14:solidFill>
                </w14:textFill>
              </w:rPr>
              <w:t>总重量约40t，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运输扬尘产生量为0.</w:t>
            </w:r>
            <w:r>
              <w:rPr>
                <w:rFonts w:hint="eastAsia" w:cs="Times New Roman"/>
                <w:color w:val="000000" w:themeColor="text1"/>
                <w:sz w:val="24"/>
                <w:szCs w:val="24"/>
                <w:highlight w:val="none"/>
                <w:lang w:val="en-US" w:eastAsia="zh-CN"/>
                <w14:textFill>
                  <w14:solidFill>
                    <w14:schemeClr w14:val="tx1"/>
                  </w14:solidFill>
                </w14:textFill>
              </w:rPr>
              <w:t>5668</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eastAsia" w:cs="Times New Roman"/>
                <w:color w:val="000000" w:themeColor="text1"/>
                <w:sz w:val="24"/>
                <w:szCs w:val="24"/>
                <w:highlight w:val="none"/>
                <w:lang w:eastAsia="zh-CN"/>
                <w14:textFill>
                  <w14:solidFill>
                    <w14:schemeClr w14:val="tx1"/>
                  </w14:solidFill>
                </w14:textFill>
              </w:rPr>
              <w:t>。则混凝土罐车运输扬尘产生量为</w:t>
            </w:r>
            <w:r>
              <w:rPr>
                <w:rFonts w:hint="eastAsia" w:cs="Times New Roman"/>
                <w:color w:val="000000" w:themeColor="text1"/>
                <w:sz w:val="24"/>
                <w:szCs w:val="24"/>
                <w:highlight w:val="none"/>
                <w:lang w:val="en-US" w:eastAsia="zh-CN"/>
                <w14:textFill>
                  <w14:solidFill>
                    <w14:schemeClr w14:val="tx1"/>
                  </w14:solidFill>
                </w14:textFill>
              </w:rPr>
              <w:t>12.4035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kg/d，</w:t>
            </w:r>
            <w:r>
              <w:rPr>
                <w:rFonts w:hint="eastAsia" w:cs="Times New Roman"/>
                <w:color w:val="000000" w:themeColor="text1"/>
                <w:sz w:val="24"/>
                <w:szCs w:val="24"/>
                <w:highlight w:val="none"/>
                <w:lang w:val="en-US" w:eastAsia="zh-CN"/>
                <w14:textFill>
                  <w14:solidFill>
                    <w14:schemeClr w14:val="tx1"/>
                  </w14:solidFill>
                </w14:textFill>
              </w:rPr>
              <w:t>4.3412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p>
          <w:p w14:paraId="1ED03FB0">
            <w:pPr>
              <w:pStyle w:val="10"/>
              <w:keepNext w:val="0"/>
              <w:keepLines w:val="0"/>
              <w:pageBreakBefore w:val="0"/>
              <w:widowControl w:val="0"/>
              <w:kinsoku/>
              <w:wordWrap w:val="0"/>
              <w:overflowPunct/>
              <w:topLinePunct w:val="0"/>
              <w:autoSpaceDE/>
              <w:autoSpaceDN/>
              <w:bidi w:val="0"/>
              <w:adjustRightInd w:val="0"/>
              <w:snapToGrid w:val="0"/>
              <w:spacing w:after="0" w:line="450" w:lineRule="exact"/>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w:t>
            </w:r>
            <w:r>
              <w:rPr>
                <w:rFonts w:hint="eastAsia" w:cs="Times New Roman"/>
                <w:color w:val="000000" w:themeColor="text1"/>
                <w:sz w:val="24"/>
                <w:szCs w:val="24"/>
                <w:highlight w:val="none"/>
                <w:lang w:val="en-US" w:eastAsia="zh-CN"/>
                <w14:textFill>
                  <w14:solidFill>
                    <w14:schemeClr w14:val="tx1"/>
                  </w14:solidFill>
                </w14:textFill>
              </w:rPr>
              <w:t>其他运输</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车辆空车</w:t>
            </w:r>
            <w:r>
              <w:rPr>
                <w:rFonts w:hint="eastAsia" w:cs="Times New Roman"/>
                <w:color w:val="000000" w:themeColor="text1"/>
                <w:sz w:val="24"/>
                <w:szCs w:val="24"/>
                <w:highlight w:val="none"/>
                <w:lang w:val="en-US" w:eastAsia="zh-CN"/>
                <w14:textFill>
                  <w14:solidFill>
                    <w14:schemeClr w14:val="tx1"/>
                  </w14:solidFill>
                </w14:textFill>
              </w:rPr>
              <w:t>自重约20t，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w:t>
            </w:r>
            <w:r>
              <w:rPr>
                <w:rFonts w:hint="eastAsia" w:cs="Times New Roman"/>
                <w:color w:val="000000" w:themeColor="text1"/>
                <w:sz w:val="24"/>
                <w:szCs w:val="24"/>
                <w:highlight w:val="none"/>
                <w:lang w:val="en-US" w:eastAsia="zh-CN"/>
                <w14:textFill>
                  <w14:solidFill>
                    <w14:schemeClr w14:val="tx1"/>
                  </w14:solidFill>
                </w14:textFill>
              </w:rPr>
              <w:t>0.3145</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；载重车</w:t>
            </w:r>
            <w:r>
              <w:rPr>
                <w:rFonts w:hint="eastAsia" w:cs="Times New Roman"/>
                <w:color w:val="000000" w:themeColor="text1"/>
                <w:sz w:val="24"/>
                <w:szCs w:val="24"/>
                <w:highlight w:val="none"/>
                <w:lang w:val="en-US" w:eastAsia="zh-CN"/>
                <w14:textFill>
                  <w14:solidFill>
                    <w14:schemeClr w14:val="tx1"/>
                  </w14:solidFill>
                </w14:textFill>
              </w:rPr>
              <w:t>总重量约50t，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w:t>
            </w:r>
            <w:r>
              <w:rPr>
                <w:rFonts w:hint="eastAsia" w:cs="Times New Roman"/>
                <w:color w:val="000000" w:themeColor="text1"/>
                <w:sz w:val="24"/>
                <w:szCs w:val="24"/>
                <w:highlight w:val="none"/>
                <w:lang w:val="en-US" w:eastAsia="zh-CN"/>
                <w14:textFill>
                  <w14:solidFill>
                    <w14:schemeClr w14:val="tx1"/>
                  </w14:solidFill>
                </w14:textFill>
              </w:rPr>
              <w:t>0.6852</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eastAsia" w:cs="Times New Roman"/>
                <w:color w:val="000000" w:themeColor="text1"/>
                <w:sz w:val="24"/>
                <w:szCs w:val="24"/>
                <w:highlight w:val="none"/>
                <w:lang w:eastAsia="zh-CN"/>
                <w14:textFill>
                  <w14:solidFill>
                    <w14:schemeClr w14:val="tx1"/>
                  </w14:solidFill>
                </w14:textFill>
              </w:rPr>
              <w:t>。则</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w:t>
            </w:r>
            <w:r>
              <w:rPr>
                <w:rFonts w:hint="eastAsia" w:cs="Times New Roman"/>
                <w:color w:val="000000" w:themeColor="text1"/>
                <w:sz w:val="24"/>
                <w:szCs w:val="24"/>
                <w:highlight w:val="none"/>
                <w:lang w:val="en-US" w:eastAsia="zh-CN"/>
                <w14:textFill>
                  <w14:solidFill>
                    <w14:schemeClr w14:val="tx1"/>
                  </w14:solidFill>
                </w14:textFill>
              </w:rPr>
              <w:t>其他运输</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车辆</w:t>
            </w:r>
            <w:r>
              <w:rPr>
                <w:rFonts w:hint="eastAsia" w:cs="Times New Roman"/>
                <w:color w:val="000000" w:themeColor="text1"/>
                <w:sz w:val="24"/>
                <w:szCs w:val="24"/>
                <w:highlight w:val="none"/>
                <w:lang w:eastAsia="zh-CN"/>
                <w14:textFill>
                  <w14:solidFill>
                    <w14:schemeClr w14:val="tx1"/>
                  </w14:solidFill>
                </w14:textFill>
              </w:rPr>
              <w:t>运输扬尘产生量为</w:t>
            </w:r>
            <w:r>
              <w:rPr>
                <w:rFonts w:hint="eastAsia" w:cs="Times New Roman"/>
                <w:color w:val="000000" w:themeColor="text1"/>
                <w:sz w:val="24"/>
                <w:szCs w:val="24"/>
                <w:highlight w:val="none"/>
                <w:lang w:val="en-US" w:eastAsia="zh-CN"/>
                <w14:textFill>
                  <w14:solidFill>
                    <w14:schemeClr w14:val="tx1"/>
                  </w14:solidFill>
                </w14:textFill>
              </w:rPr>
              <w:t>14.9955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kg/d，</w:t>
            </w:r>
            <w:r>
              <w:rPr>
                <w:rFonts w:hint="eastAsia" w:cs="Times New Roman"/>
                <w:color w:val="000000" w:themeColor="text1"/>
                <w:sz w:val="24"/>
                <w:szCs w:val="24"/>
                <w:highlight w:val="none"/>
                <w:lang w:val="en-US" w:eastAsia="zh-CN"/>
                <w14:textFill>
                  <w14:solidFill>
                    <w14:schemeClr w14:val="tx1"/>
                  </w14:solidFill>
                </w14:textFill>
              </w:rPr>
              <w:t>5.2484</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p>
          <w:p w14:paraId="7691E196">
            <w:pPr>
              <w:pStyle w:val="10"/>
              <w:keepNext w:val="0"/>
              <w:keepLines w:val="0"/>
              <w:pageBreakBefore w:val="0"/>
              <w:widowControl w:val="0"/>
              <w:kinsoku/>
              <w:wordWrap w:val="0"/>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综上，全厂运输扬尘总产生量为</w:t>
            </w:r>
            <w:r>
              <w:rPr>
                <w:rFonts w:hint="eastAsia" w:cs="Times New Roman"/>
                <w:color w:val="000000" w:themeColor="text1"/>
                <w:sz w:val="24"/>
                <w:szCs w:val="24"/>
                <w:highlight w:val="none"/>
                <w:lang w:val="en-US" w:eastAsia="zh-CN"/>
                <w14:textFill>
                  <w14:solidFill>
                    <w14:schemeClr w14:val="tx1"/>
                  </w14:solidFill>
                </w14:textFill>
              </w:rPr>
              <w:t>27.399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kg/d</w:t>
            </w:r>
            <w:r>
              <w:rPr>
                <w:rFonts w:hint="eastAsia" w:cs="Times New Roman"/>
                <w:color w:val="000000" w:themeColor="text1"/>
                <w:sz w:val="24"/>
                <w:szCs w:val="24"/>
                <w:highlight w:val="none"/>
                <w:lang w:val="en-US" w:eastAsia="zh-CN"/>
                <w14:textFill>
                  <w14:solidFill>
                    <w14:schemeClr w14:val="tx1"/>
                  </w14:solidFill>
                </w14:textFill>
              </w:rPr>
              <w:t>（平均2.74kg/h）</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9.5896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p>
          <w:p w14:paraId="67458324">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w:t>
            </w:r>
            <w:r>
              <w:rPr>
                <w:bCs/>
                <w:color w:val="000000" w:themeColor="text1"/>
                <w:sz w:val="24"/>
                <w:highlight w:val="none"/>
                <w14:textFill>
                  <w14:solidFill>
                    <w14:schemeClr w14:val="tx1"/>
                  </w14:solidFill>
                </w14:textFill>
              </w:rPr>
              <w:t>处理措施及排放量</w:t>
            </w:r>
          </w:p>
          <w:p w14:paraId="3D98B9CE">
            <w:pPr>
              <w:keepNext w:val="0"/>
              <w:keepLines w:val="0"/>
              <w:pageBreakBefore w:val="0"/>
              <w:widowControl w:val="0"/>
              <w:kinsoku/>
              <w:wordWrap/>
              <w:overflowPunct/>
              <w:topLinePunct w:val="0"/>
              <w:autoSpaceDE/>
              <w:autoSpaceDN/>
              <w:bidi w:val="0"/>
              <w:adjustRightInd w:val="0"/>
              <w:snapToGrid w:val="0"/>
              <w:spacing w:line="450" w:lineRule="exact"/>
              <w:ind w:leftChars="0" w:firstLine="480" w:firstLineChars="200"/>
              <w:jc w:val="both"/>
              <w:textAlignment w:val="auto"/>
              <w:rPr>
                <w:rFonts w:hint="default" w:ascii="Times New Roman" w:hAnsi="Times New Roman" w:eastAsia="宋体" w:cs="Times New Roman"/>
                <w:bCs/>
                <w:color w:val="000000" w:themeColor="text1"/>
                <w:sz w:val="24"/>
                <w:szCs w:val="22"/>
                <w:highlight w:val="none"/>
                <w14:textFill>
                  <w14:solidFill>
                    <w14:schemeClr w14:val="tx1"/>
                  </w14:solidFill>
                </w14:textFill>
              </w:rPr>
            </w:pPr>
            <w:r>
              <w:rPr>
                <w:rFonts w:hint="default" w:ascii="Times New Roman" w:hAnsi="Times New Roman" w:eastAsia="宋体" w:cs="Times New Roman"/>
                <w:bCs/>
                <w:color w:val="000000" w:themeColor="text1"/>
                <w:sz w:val="24"/>
                <w:szCs w:val="22"/>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14:textFill>
                  <w14:solidFill>
                    <w14:schemeClr w14:val="tx1"/>
                  </w14:solidFill>
                </w14:textFill>
              </w:rPr>
              <w:t>在厂区出口处采取设置洗车平台对进出车辆进行冲洗的方式进行抑尘</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p>
          <w:p w14:paraId="24C9DE10">
            <w:pPr>
              <w:keepNext w:val="0"/>
              <w:keepLines w:val="0"/>
              <w:pageBreakBefore w:val="0"/>
              <w:widowControl w:val="0"/>
              <w:kinsoku/>
              <w:wordWrap/>
              <w:overflowPunct/>
              <w:topLinePunct w:val="0"/>
              <w:autoSpaceDE/>
              <w:autoSpaceDN/>
              <w:bidi w:val="0"/>
              <w:adjustRightInd w:val="0"/>
              <w:snapToGrid w:val="0"/>
              <w:spacing w:line="450" w:lineRule="exact"/>
              <w:ind w:leftChars="0" w:firstLine="480" w:firstLineChars="200"/>
              <w:jc w:val="both"/>
              <w:textAlignment w:val="auto"/>
              <w:rPr>
                <w:rFonts w:hint="default" w:ascii="Times New Roman" w:hAnsi="Times New Roman" w:eastAsia="宋体" w:cs="Times New Roman"/>
                <w:bCs/>
                <w:color w:val="000000" w:themeColor="text1"/>
                <w:sz w:val="24"/>
                <w:szCs w:val="22"/>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4"/>
                <w:szCs w:val="22"/>
                <w:highlight w:val="none"/>
                <w14:textFill>
                  <w14:solidFill>
                    <w14:schemeClr w14:val="tx1"/>
                  </w14:solidFill>
                </w14:textFill>
              </w:rPr>
              <w:t>B、</w:t>
            </w:r>
            <w:r>
              <w:rPr>
                <w:rFonts w:hint="default" w:ascii="Times New Roman" w:hAnsi="Times New Roman" w:eastAsia="宋体" w:cs="Times New Roman"/>
                <w:color w:val="000000" w:themeColor="text1"/>
                <w:sz w:val="24"/>
                <w:szCs w:val="24"/>
                <w:highlight w:val="none"/>
                <w14:textFill>
                  <w14:solidFill>
                    <w14:schemeClr w14:val="tx1"/>
                  </w14:solidFill>
                </w14:textFill>
              </w:rPr>
              <w:t>内部对进出场道路进行全部硬化</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厂区内路面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及外部运输道路采用洒水车</w:t>
            </w:r>
            <w:r>
              <w:rPr>
                <w:rFonts w:hint="default" w:ascii="Times New Roman" w:hAnsi="Times New Roman" w:eastAsia="宋体" w:cs="Times New Roman"/>
                <w:color w:val="000000" w:themeColor="text1"/>
                <w:sz w:val="24"/>
                <w:szCs w:val="24"/>
                <w:highlight w:val="none"/>
                <w14:textFill>
                  <w14:solidFill>
                    <w14:schemeClr w14:val="tx1"/>
                  </w14:solidFill>
                </w14:textFill>
              </w:rPr>
              <w:t>定时洒水，</w:t>
            </w:r>
            <w:r>
              <w:rPr>
                <w:rFonts w:hint="default" w:ascii="Times New Roman" w:hAnsi="Times New Roman" w:eastAsia="宋体" w:cs="Times New Roman"/>
                <w:color w:val="000000" w:themeColor="text1"/>
                <w:sz w:val="24"/>
                <w:szCs w:val="22"/>
                <w:highlight w:val="none"/>
                <w14:textFill>
                  <w14:solidFill>
                    <w14:schemeClr w14:val="tx1"/>
                  </w14:solidFill>
                </w14:textFill>
              </w:rPr>
              <w:t>定时清扫，保持路面清洁</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以减少厂区汽车运输扬尘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40BCA686">
            <w:pPr>
              <w:keepNext w:val="0"/>
              <w:keepLines w:val="0"/>
              <w:pageBreakBefore w:val="0"/>
              <w:widowControl w:val="0"/>
              <w:kinsoku/>
              <w:wordWrap/>
              <w:overflowPunct/>
              <w:topLinePunct w:val="0"/>
              <w:autoSpaceDE/>
              <w:autoSpaceDN/>
              <w:bidi w:val="0"/>
              <w:adjustRightInd w:val="0"/>
              <w:snapToGrid w:val="0"/>
              <w:spacing w:line="450" w:lineRule="exact"/>
              <w:ind w:leftChars="0" w:firstLine="480" w:firstLineChars="200"/>
              <w:jc w:val="both"/>
              <w:textAlignment w:val="auto"/>
              <w:rPr>
                <w:rFonts w:hint="default" w:ascii="Times New Roman" w:hAnsi="Times New Roman" w:eastAsia="宋体" w:cs="Times New Roman"/>
                <w:bCs/>
                <w:color w:val="000000" w:themeColor="text1"/>
                <w:sz w:val="24"/>
                <w:szCs w:val="22"/>
                <w:highlight w:val="none"/>
                <w14:textFill>
                  <w14:solidFill>
                    <w14:schemeClr w14:val="tx1"/>
                  </w14:solidFill>
                </w14:textFill>
              </w:rPr>
            </w:pPr>
            <w:r>
              <w:rPr>
                <w:rFonts w:hint="default" w:ascii="Times New Roman" w:hAnsi="Times New Roman" w:eastAsia="宋体" w:cs="Times New Roman"/>
                <w:bCs/>
                <w:color w:val="000000" w:themeColor="text1"/>
                <w:sz w:val="24"/>
                <w:szCs w:val="22"/>
                <w:highlight w:val="none"/>
                <w14:textFill>
                  <w14:solidFill>
                    <w14:schemeClr w14:val="tx1"/>
                  </w14:solidFill>
                </w14:textFill>
              </w:rPr>
              <w:t>C、骨料运输车辆要加盖篷布封闭遮盖，严禁超载；粉料采用密封罐车运输，以减少原材料的散落。</w:t>
            </w:r>
          </w:p>
          <w:p w14:paraId="78437878">
            <w:pPr>
              <w:keepNext w:val="0"/>
              <w:keepLines w:val="0"/>
              <w:pageBreakBefore w:val="0"/>
              <w:widowControl w:val="0"/>
              <w:kinsoku/>
              <w:wordWrap/>
              <w:overflowPunct/>
              <w:topLinePunct w:val="0"/>
              <w:autoSpaceDE/>
              <w:autoSpaceDN/>
              <w:bidi w:val="0"/>
              <w:adjustRightInd w:val="0"/>
              <w:snapToGrid w:val="0"/>
              <w:spacing w:line="450" w:lineRule="exact"/>
              <w:ind w:leftChars="0" w:firstLine="480" w:firstLineChars="200"/>
              <w:jc w:val="both"/>
              <w:textAlignment w:val="auto"/>
              <w:rPr>
                <w:rFonts w:hint="default" w:ascii="Times New Roman" w:hAnsi="Times New Roman" w:eastAsia="宋体" w:cs="Times New Roman"/>
                <w:bCs/>
                <w:color w:val="000000" w:themeColor="text1"/>
                <w:sz w:val="24"/>
                <w:szCs w:val="22"/>
                <w:highlight w:val="none"/>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加强管理，要求运输车辆减速慢行。</w:t>
            </w:r>
          </w:p>
          <w:p w14:paraId="3FC21576">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附录4、附录5 粉尘控制措施控制效率级堆场类型控制效率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粉尘控制措施</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为洒水时，控制效率为74%，</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粉尘控制措施</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为进出车辆冲洗时，控制效率为78%，本项目综合洒水及进出车辆冲洗两类粉尘控制措施，粉尘控制效率大于</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70DF98FE">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汽车运输扬尘排放量（无组织排放）：</w:t>
            </w:r>
            <w:r>
              <w:rPr>
                <w:rFonts w:hint="eastAsia" w:cs="Times New Roman"/>
                <w:color w:val="000000" w:themeColor="text1"/>
                <w:sz w:val="24"/>
                <w:szCs w:val="24"/>
                <w:highlight w:val="none"/>
                <w:lang w:val="en-US" w:eastAsia="zh-CN"/>
                <w14:textFill>
                  <w14:solidFill>
                    <w14:schemeClr w14:val="tx1"/>
                  </w14:solidFill>
                </w14:textFill>
              </w:rPr>
              <w:t>9.5896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×（1-0.85）=</w:t>
            </w:r>
            <w:r>
              <w:rPr>
                <w:rFonts w:hint="eastAsia" w:cs="Times New Roman"/>
                <w:color w:val="000000" w:themeColor="text1"/>
                <w:sz w:val="24"/>
                <w:szCs w:val="24"/>
                <w:highlight w:val="none"/>
                <w:lang w:val="en-US" w:eastAsia="zh-CN"/>
                <w14:textFill>
                  <w14:solidFill>
                    <w14:schemeClr w14:val="tx1"/>
                  </w14:solidFill>
                </w14:textFill>
              </w:rPr>
              <w:t>1.4384</w:t>
            </w:r>
            <w:r>
              <w:rPr>
                <w:rFonts w:hint="eastAsia" w:cs="Times New Roman"/>
                <w:color w:val="000000" w:themeColor="text1"/>
                <w:sz w:val="24"/>
                <w:szCs w:val="24"/>
                <w:highlight w:val="none"/>
                <w:vertAlign w:val="baseline"/>
                <w:lang w:val="en-US" w:eastAsia="zh-CN"/>
                <w14:textFill>
                  <w14:solidFill>
                    <w14:schemeClr w14:val="tx1"/>
                  </w14:solidFill>
                </w14:textFill>
              </w:rPr>
              <w:t>t</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r>
              <w:rPr>
                <w:rFonts w:hint="eastAsia" w:cs="Times New Roman"/>
                <w:color w:val="000000" w:themeColor="text1"/>
                <w:sz w:val="24"/>
                <w:szCs w:val="24"/>
                <w:highlight w:val="none"/>
                <w:vertAlign w:val="baseli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27.399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×（1-0.85）=</w:t>
            </w:r>
            <w:r>
              <w:rPr>
                <w:rFonts w:hint="eastAsia" w:cs="Times New Roman"/>
                <w:color w:val="000000" w:themeColor="text1"/>
                <w:sz w:val="24"/>
                <w:szCs w:val="24"/>
                <w:highlight w:val="none"/>
                <w:lang w:val="en-US" w:eastAsia="zh-CN"/>
                <w14:textFill>
                  <w14:solidFill>
                    <w14:schemeClr w14:val="tx1"/>
                  </w14:solidFill>
                </w14:textFill>
              </w:rPr>
              <w:t>4.1099</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w:t>
            </w:r>
            <w:r>
              <w:rPr>
                <w:rFonts w:hint="eastAsia" w:cs="Times New Roman"/>
                <w:color w:val="000000" w:themeColor="text1"/>
                <w:sz w:val="24"/>
                <w:szCs w:val="24"/>
                <w:highlight w:val="none"/>
                <w:vertAlign w:val="baseline"/>
                <w:lang w:val="en-US" w:eastAsia="zh-CN"/>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（平均</w:t>
            </w:r>
            <w:r>
              <w:rPr>
                <w:rFonts w:hint="eastAsia" w:cs="Times New Roman"/>
                <w:color w:val="000000" w:themeColor="text1"/>
                <w:sz w:val="24"/>
                <w:szCs w:val="24"/>
                <w:highlight w:val="none"/>
                <w:lang w:val="en-US" w:eastAsia="zh-CN"/>
                <w14:textFill>
                  <w14:solidFill>
                    <w14:schemeClr w14:val="tx1"/>
                  </w14:solidFill>
                </w14:textFill>
              </w:rPr>
              <w:t>0.411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kg/h）</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p>
          <w:p w14:paraId="7339C338">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7</w:t>
            </w:r>
            <w:r>
              <w:rPr>
                <w:rFonts w:hint="eastAsia"/>
                <w:b/>
                <w:bCs/>
                <w:color w:val="000000" w:themeColor="text1"/>
                <w:sz w:val="24"/>
                <w:szCs w:val="24"/>
                <w:highlight w:val="none"/>
                <w14:textFill>
                  <w14:solidFill>
                    <w14:schemeClr w14:val="tx1"/>
                  </w14:solidFill>
                </w14:textFill>
              </w:rPr>
              <w:t>、汽车尾气</w:t>
            </w:r>
          </w:p>
          <w:p w14:paraId="580B3B49">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现场机械设备主要为装载机、运输车辆，以柴油和汽油为燃料，有一定的尾气产生。以柴油为燃料的机械设备产生的废气，主要污染物为CO、NOx以及未完全燃烧的碳氢化合物HC等。区域内项目车辆发动时间短且处于开阔环境，尾气产生后能够很快扩散，不会对区域大气造成不良影响。</w:t>
            </w:r>
          </w:p>
          <w:p w14:paraId="4F09B99C">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2" w:firstLineChars="200"/>
              <w:textAlignment w:val="auto"/>
              <w:rPr>
                <w:rFonts w:hint="default"/>
                <w:b/>
                <w:bCs/>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8、食堂油烟</w:t>
            </w:r>
          </w:p>
          <w:p w14:paraId="1E12F6E1">
            <w:pPr>
              <w:keepNext w:val="0"/>
              <w:keepLines w:val="0"/>
              <w:pageBreakBefore w:val="0"/>
              <w:widowControl w:val="0"/>
              <w:kinsoku/>
              <w:wordWrap/>
              <w:overflowPunct/>
              <w:topLinePunct w:val="0"/>
              <w:autoSpaceDE/>
              <w:autoSpaceDN/>
              <w:bidi w:val="0"/>
              <w:adjustRightInd w:val="0"/>
              <w:snapToGrid w:val="0"/>
              <w:spacing w:line="45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产生情况</w:t>
            </w:r>
          </w:p>
          <w:p w14:paraId="5555278E">
            <w:pPr>
              <w:keepNext w:val="0"/>
              <w:keepLines w:val="0"/>
              <w:pageBreakBefore w:val="0"/>
              <w:widowControl w:val="0"/>
              <w:kinsoku/>
              <w:wordWrap/>
              <w:overflowPunct/>
              <w:topLinePunct w:val="0"/>
              <w:autoSpaceDE/>
              <w:autoSpaceDN/>
              <w:bidi w:val="0"/>
              <w:adjustRightInd w:val="0"/>
              <w:snapToGrid w:val="0"/>
              <w:spacing w:line="450" w:lineRule="exact"/>
              <w:ind w:firstLine="480" w:firstLineChars="200"/>
              <w:jc w:val="left"/>
              <w:textAlignment w:val="auto"/>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项目设有职工食堂，食物在烹饪、加工过程中，挥发出的油脂、有机质及热分解或裂解产物会形成油烟废气。项目用餐人数共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75</w:t>
            </w:r>
            <w:r>
              <w:rPr>
                <w:rFonts w:hint="default" w:ascii="Times New Roman" w:hAnsi="Times New Roman" w:eastAsia="宋体" w:cs="Times New Roman"/>
                <w:color w:val="000000" w:themeColor="text1"/>
                <w:sz w:val="24"/>
                <w:szCs w:val="24"/>
                <w:highlight w:val="none"/>
                <w14:textFill>
                  <w14:solidFill>
                    <w14:schemeClr w14:val="tx1"/>
                  </w14:solidFill>
                </w14:textFill>
              </w:rPr>
              <w:t>人，食用油用量以</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30g/(</w:t>
            </w:r>
            <w:r>
              <w:rPr>
                <w:rFonts w:hint="default" w:ascii="Times New Roman" w:hAnsi="Times New Roman" w:eastAsia="宋体" w:cs="Times New Roman"/>
                <w:color w:val="000000" w:themeColor="text1"/>
                <w:sz w:val="24"/>
                <w:szCs w:val="24"/>
                <w:highlight w:val="none"/>
                <w14:textFill>
                  <w14:solidFill>
                    <w14:schemeClr w14:val="tx1"/>
                  </w14:solidFill>
                </w14:textFill>
              </w:rPr>
              <w:t>人·</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14:textFill>
                  <w14:solidFill>
                    <w14:schemeClr w14:val="tx1"/>
                  </w14:solidFill>
                </w14:textFill>
              </w:rPr>
              <w:t>计，即食用油量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2.25</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kg/d</w:t>
            </w:r>
            <w:r>
              <w:rPr>
                <w:rFonts w:hint="default" w:ascii="Times New Roman" w:hAnsi="Times New Roman" w:eastAsia="宋体" w:cs="Times New Roman"/>
                <w:color w:val="000000" w:themeColor="text1"/>
                <w:sz w:val="24"/>
                <w:szCs w:val="24"/>
                <w:highlight w:val="none"/>
                <w14:textFill>
                  <w14:solidFill>
                    <w14:schemeClr w14:val="tx1"/>
                  </w14:solidFill>
                </w14:textFill>
              </w:rPr>
              <w:t>，油烟排放系数按</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3.0%</w:t>
            </w:r>
            <w:r>
              <w:rPr>
                <w:rFonts w:hint="default" w:ascii="Times New Roman" w:hAnsi="Times New Roman" w:eastAsia="宋体" w:cs="Times New Roman"/>
                <w:color w:val="000000" w:themeColor="text1"/>
                <w:sz w:val="24"/>
                <w:szCs w:val="24"/>
                <w:highlight w:val="none"/>
                <w14:textFill>
                  <w14:solidFill>
                    <w14:schemeClr w14:val="tx1"/>
                  </w14:solidFill>
                </w14:textFill>
              </w:rPr>
              <w:t>计，则油烟废气产生量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67.5</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g/d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23.625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60681150">
            <w:pPr>
              <w:keepNext w:val="0"/>
              <w:keepLines w:val="0"/>
              <w:pageBreakBefore w:val="0"/>
              <w:widowControl w:val="0"/>
              <w:kinsoku/>
              <w:wordWrap/>
              <w:overflowPunct/>
              <w:topLinePunct w:val="0"/>
              <w:autoSpaceDE/>
              <w:autoSpaceDN/>
              <w:bidi w:val="0"/>
              <w:adjustRightInd w:val="0"/>
              <w:snapToGrid w:val="0"/>
              <w:spacing w:line="45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治理措施及排放情况</w:t>
            </w:r>
          </w:p>
          <w:p w14:paraId="1AACFC05">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rFonts w:hint="eastAsia"/>
                <w:b w:val="0"/>
                <w:bCs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食堂设置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个基准灶头，</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w:t>
            </w:r>
            <w:r>
              <w:rPr>
                <w:rFonts w:hint="default" w:ascii="Times New Roman" w:hAnsi="Times New Roman" w:eastAsia="宋体" w:cs="Times New Roman"/>
                <w:color w:val="000000" w:themeColor="text1"/>
                <w:sz w:val="24"/>
                <w:szCs w:val="24"/>
                <w:highlight w:val="none"/>
                <w14:textFill>
                  <w14:solidFill>
                    <w14:schemeClr w14:val="tx1"/>
                  </w14:solidFill>
                </w14:textFill>
              </w:rPr>
              <w:t>排风量</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2000m</w:t>
            </w:r>
            <w:r>
              <w:rPr>
                <w:rFonts w:hint="default" w:ascii="Times New Roman" w:hAnsi="Times New Roman" w:eastAsia="宋体" w:cs="Times New Roman"/>
                <w:color w:val="000000" w:themeColor="text1"/>
                <w:sz w:val="24"/>
                <w:szCs w:val="24"/>
                <w:highlight w:val="none"/>
                <w14:textFill>
                  <w14:solidFill>
                    <w14:schemeClr w14:val="tx1"/>
                  </w14:solidFill>
                </w14:textFill>
              </w:rPr>
              <w:t>³</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/h</w:t>
            </w:r>
            <w:r>
              <w:rPr>
                <w:rFonts w:hint="default" w:ascii="Times New Roman" w:hAnsi="Times New Roman" w:eastAsia="宋体" w:cs="Times New Roman"/>
                <w:color w:val="000000" w:themeColor="text1"/>
                <w:sz w:val="24"/>
                <w:szCs w:val="24"/>
                <w:highlight w:val="none"/>
                <w14:textFill>
                  <w14:solidFill>
                    <w14:schemeClr w14:val="tx1"/>
                  </w14:solidFill>
                </w14:textFill>
              </w:rPr>
              <w:t>，烹饪时间按</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5h/</w:t>
            </w:r>
            <w:r>
              <w:rPr>
                <w:rFonts w:hint="default" w:ascii="Times New Roman" w:hAnsi="Times New Roman" w:eastAsia="宋体" w:cs="Times New Roman"/>
                <w:color w:val="000000" w:themeColor="text1"/>
                <w:sz w:val="24"/>
                <w:szCs w:val="24"/>
                <w:highlight w:val="none"/>
                <w14:textFill>
                  <w14:solidFill>
                    <w14:schemeClr w14:val="tx1"/>
                  </w14:solidFill>
                </w14:textFill>
              </w:rPr>
              <w:t>天计，则油烟产生浓度</w:t>
            </w:r>
            <w:r>
              <w:rPr>
                <w:rFonts w:hint="eastAsia" w:cs="Times New Roman"/>
                <w:color w:val="000000" w:themeColor="text1"/>
                <w:sz w:val="24"/>
                <w:szCs w:val="24"/>
                <w:highlight w:val="none"/>
                <w:lang w:val="en-US" w:eastAsia="zh-CN"/>
                <w14:textFill>
                  <w14:solidFill>
                    <w14:schemeClr w14:val="tx1"/>
                  </w14:solidFill>
                </w14:textFill>
              </w:rPr>
              <w:t>2.25</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mg/m</w:t>
            </w:r>
            <w:r>
              <w:rPr>
                <w:rFonts w:hint="default" w:ascii="Times New Roman" w:hAnsi="Times New Roman" w:eastAsia="宋体" w:cs="Times New Roman"/>
                <w:color w:val="000000" w:themeColor="text1"/>
                <w:sz w:val="24"/>
                <w:szCs w:val="24"/>
                <w:highlight w:val="none"/>
                <w14:textFill>
                  <w14:solidFill>
                    <w14:schemeClr w14:val="tx1"/>
                  </w14:solidFill>
                </w14:textFill>
              </w:rPr>
              <w:t>³。项目拟</w:t>
            </w:r>
            <w:r>
              <w:rPr>
                <w:rFonts w:hint="eastAsia" w:eastAsia="宋体" w:cs="Times New Roman"/>
                <w:color w:val="000000" w:themeColor="text1"/>
                <w:sz w:val="24"/>
                <w:szCs w:val="24"/>
                <w:highlight w:val="none"/>
                <w:lang w:eastAsia="zh-CN"/>
                <w14:textFill>
                  <w14:solidFill>
                    <w14:schemeClr w14:val="tx1"/>
                  </w14:solidFill>
                </w14:textFill>
              </w:rPr>
              <w:t>设置</w:t>
            </w:r>
            <w:r>
              <w:rPr>
                <w:rFonts w:hint="eastAsia"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油烟净化器</w:t>
            </w:r>
            <w:r>
              <w:rPr>
                <w:rFonts w:hint="default" w:ascii="Times New Roman" w:hAnsi="Times New Roman" w:eastAsia="宋体" w:cs="Times New Roman"/>
                <w:color w:val="000000" w:themeColor="text1"/>
                <w:sz w:val="24"/>
                <w:szCs w:val="24"/>
                <w:highlight w:val="none"/>
                <w14:textFill>
                  <w14:solidFill>
                    <w14:schemeClr w14:val="tx1"/>
                  </w14:solidFill>
                </w14:textFill>
              </w:rPr>
              <w:t>对油烟进行净化处理，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净化效率约为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75%，</w:t>
            </w:r>
            <w:r>
              <w:rPr>
                <w:rFonts w:hint="default" w:ascii="Times New Roman" w:hAnsi="Times New Roman" w:eastAsia="宋体" w:cs="Times New Roman"/>
                <w:color w:val="000000" w:themeColor="text1"/>
                <w:sz w:val="24"/>
                <w:szCs w:val="24"/>
                <w:highlight w:val="none"/>
                <w14:textFill>
                  <w14:solidFill>
                    <w14:schemeClr w14:val="tx1"/>
                  </w14:solidFill>
                </w14:textFill>
              </w:rPr>
              <w:t>通过排烟管道引至</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屋顶</w:t>
            </w:r>
            <w:r>
              <w:rPr>
                <w:rFonts w:hint="default" w:ascii="Times New Roman" w:hAnsi="Times New Roman" w:eastAsia="宋体" w:cs="Times New Roman"/>
                <w:color w:val="000000" w:themeColor="text1"/>
                <w:sz w:val="24"/>
                <w:szCs w:val="24"/>
                <w:highlight w:val="none"/>
                <w14:textFill>
                  <w14:solidFill>
                    <w14:schemeClr w14:val="tx1"/>
                  </w14:solidFill>
                </w14:textFill>
              </w:rPr>
              <w:t>高空排放，排放量约</w:t>
            </w:r>
            <w:r>
              <w:rPr>
                <w:rFonts w:hint="eastAsia" w:eastAsia="TimesNewRomanPS-BoldMT" w:cs="Times New Roman"/>
                <w:b/>
                <w:color w:val="000000" w:themeColor="text1"/>
                <w:sz w:val="24"/>
                <w:szCs w:val="24"/>
                <w:highlight w:val="none"/>
                <w:lang w:val="en-US" w:eastAsia="zh-CN"/>
                <w14:textFill>
                  <w14:solidFill>
                    <w14:schemeClr w14:val="tx1"/>
                  </w14:solidFill>
                </w14:textFill>
              </w:rPr>
              <w:t>16.875</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g/d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eastAsia="宋体" w:cs="Times New Roman"/>
                <w:color w:val="000000" w:themeColor="text1"/>
                <w:sz w:val="24"/>
                <w:szCs w:val="24"/>
                <w:highlight w:val="none"/>
                <w:lang w:val="en-US" w:eastAsia="zh-CN"/>
                <w14:textFill>
                  <w14:solidFill>
                    <w14:schemeClr w14:val="tx1"/>
                  </w14:solidFill>
                </w14:textFill>
              </w:rPr>
              <w:t>5.9063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，排放浓度</w:t>
            </w:r>
            <w:r>
              <w:rPr>
                <w:rFonts w:hint="eastAsia" w:eastAsia="TimesNewRomanPS-BoldMT" w:cs="Times New Roman"/>
                <w:b/>
                <w:color w:val="000000" w:themeColor="text1"/>
                <w:sz w:val="24"/>
                <w:szCs w:val="24"/>
                <w:highlight w:val="none"/>
                <w:lang w:val="en-US" w:eastAsia="zh-CN"/>
                <w14:textFill>
                  <w14:solidFill>
                    <w14:schemeClr w14:val="tx1"/>
                  </w14:solidFill>
                </w14:textFill>
              </w:rPr>
              <w:t>0.5625</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mg/m³</w:t>
            </w:r>
            <w:r>
              <w:rPr>
                <w:rFonts w:hint="default" w:ascii="Times New Roman" w:hAnsi="Times New Roman" w:eastAsia="宋体" w:cs="Times New Roman"/>
                <w:color w:val="000000" w:themeColor="text1"/>
                <w:sz w:val="24"/>
                <w:szCs w:val="24"/>
                <w:highlight w:val="none"/>
                <w14:textFill>
                  <w14:solidFill>
                    <w14:schemeClr w14:val="tx1"/>
                  </w14:solidFill>
                </w14:textFill>
              </w:rPr>
              <w:t>，满足《饮食业油烟排放标准（ 试行） 》</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(GB18483-2001)</w:t>
            </w:r>
            <w:r>
              <w:rPr>
                <w:rFonts w:hint="default" w:ascii="Times New Roman" w:hAnsi="Times New Roman" w:eastAsia="宋体" w:cs="Times New Roman"/>
                <w:color w:val="000000" w:themeColor="text1"/>
                <w:sz w:val="24"/>
                <w:szCs w:val="24"/>
                <w:highlight w:val="none"/>
                <w14:textFill>
                  <w14:solidFill>
                    <w14:schemeClr w14:val="tx1"/>
                  </w14:solidFill>
                </w14:textFill>
              </w:rPr>
              <w:t>标准要求（</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≤2mg/m³</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4D3B6850">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9</w:t>
            </w:r>
            <w:r>
              <w:rPr>
                <w:rFonts w:hint="eastAsia"/>
                <w:b/>
                <w:bCs/>
                <w:color w:val="000000" w:themeColor="text1"/>
                <w:sz w:val="24"/>
                <w:szCs w:val="24"/>
                <w:highlight w:val="none"/>
                <w14:textFill>
                  <w14:solidFill>
                    <w14:schemeClr w14:val="tx1"/>
                  </w14:solidFill>
                </w14:textFill>
              </w:rPr>
              <w:t>、备用发电机废气</w:t>
            </w:r>
          </w:p>
          <w:p w14:paraId="49C50994">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highlight w:val="none"/>
                <w14:textFill>
                  <w14:solidFill>
                    <w14:schemeClr w14:val="tx1"/>
                  </w14:solidFill>
                </w14:textFill>
              </w:rPr>
              <w:t>本项目发电机采用0#柴油作为燃料，发电机自带消烟除尘处理，燃油废气经排风系统收集后</w:t>
            </w:r>
            <w:r>
              <w:rPr>
                <w:rFonts w:hint="eastAsia"/>
                <w:color w:val="000000" w:themeColor="text1"/>
                <w:sz w:val="24"/>
                <w:highlight w:val="none"/>
                <w14:textFill>
                  <w14:solidFill>
                    <w14:schemeClr w14:val="tx1"/>
                  </w14:solidFill>
                </w14:textFill>
              </w:rPr>
              <w:t>专用烟道排放</w:t>
            </w:r>
            <w:r>
              <w:rPr>
                <w:color w:val="000000" w:themeColor="text1"/>
                <w:sz w:val="24"/>
                <w:highlight w:val="none"/>
                <w14:textFill>
                  <w14:solidFill>
                    <w14:schemeClr w14:val="tx1"/>
                  </w14:solidFill>
                </w14:textFill>
              </w:rPr>
              <w:t>。0#柴油燃烧产生污染较小，发电机使用频率极低，只要对发电机进行了消烟除尘处理，控制好燃烧状况，燃油废气中的主要污染物烟尘、NO</w:t>
            </w:r>
            <w:r>
              <w:rPr>
                <w:color w:val="000000" w:themeColor="text1"/>
                <w:sz w:val="24"/>
                <w:highlight w:val="none"/>
                <w:vertAlign w:val="subscript"/>
                <w14:textFill>
                  <w14:solidFill>
                    <w14:schemeClr w14:val="tx1"/>
                  </w14:solidFill>
                </w14:textFill>
              </w:rPr>
              <w:t>X</w:t>
            </w:r>
            <w:r>
              <w:rPr>
                <w:color w:val="000000" w:themeColor="text1"/>
                <w:sz w:val="24"/>
                <w:highlight w:val="none"/>
                <w14:textFill>
                  <w14:solidFill>
                    <w14:schemeClr w14:val="tx1"/>
                  </w14:solidFill>
                </w14:textFill>
              </w:rPr>
              <w:t>、SO</w:t>
            </w:r>
            <w:r>
              <w:rPr>
                <w:color w:val="000000" w:themeColor="text1"/>
                <w:sz w:val="24"/>
                <w:highlight w:val="none"/>
                <w:vertAlign w:val="subscript"/>
                <w14:textFill>
                  <w14:solidFill>
                    <w14:schemeClr w14:val="tx1"/>
                  </w14:solidFill>
                </w14:textFill>
              </w:rPr>
              <w:t>2</w:t>
            </w:r>
            <w:r>
              <w:rPr>
                <w:color w:val="000000" w:themeColor="text1"/>
                <w:sz w:val="24"/>
                <w:highlight w:val="none"/>
                <w14:textFill>
                  <w14:solidFill>
                    <w14:schemeClr w14:val="tx1"/>
                  </w14:solidFill>
                </w14:textFill>
              </w:rPr>
              <w:t>均可做到达标排放</w:t>
            </w:r>
            <w:r>
              <w:rPr>
                <w:rFonts w:hint="eastAsia"/>
                <w:color w:val="000000" w:themeColor="text1"/>
                <w:sz w:val="24"/>
                <w:highlight w:val="none"/>
                <w14:textFill>
                  <w14:solidFill>
                    <w14:schemeClr w14:val="tx1"/>
                  </w14:solidFill>
                </w14:textFill>
              </w:rPr>
              <w:t>，对大气环境影响较小</w:t>
            </w:r>
            <w:r>
              <w:rPr>
                <w:color w:val="000000" w:themeColor="text1"/>
                <w:sz w:val="24"/>
                <w:highlight w:val="none"/>
                <w14:textFill>
                  <w14:solidFill>
                    <w14:schemeClr w14:val="tx1"/>
                  </w14:solidFill>
                </w14:textFill>
              </w:rPr>
              <w:t>。</w:t>
            </w:r>
          </w:p>
          <w:p w14:paraId="1EAB2B5A">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0</w:t>
            </w:r>
            <w:r>
              <w:rPr>
                <w:rFonts w:hint="eastAsia"/>
                <w:b/>
                <w:bCs/>
                <w:color w:val="000000" w:themeColor="text1"/>
                <w:sz w:val="24"/>
                <w:szCs w:val="24"/>
                <w:highlight w:val="none"/>
                <w14:textFill>
                  <w14:solidFill>
                    <w14:schemeClr w14:val="tx1"/>
                  </w14:solidFill>
                </w14:textFill>
              </w:rPr>
              <w:t>、废气污染物排放及达标情况分析</w:t>
            </w:r>
          </w:p>
          <w:p w14:paraId="38DD10A8">
            <w:pPr>
              <w:pStyle w:val="10"/>
              <w:keepNext w:val="0"/>
              <w:keepLines w:val="0"/>
              <w:pageBreakBefore w:val="0"/>
              <w:widowControl w:val="0"/>
              <w:kinsoku/>
              <w:wordWrap/>
              <w:overflowPunct/>
              <w:topLinePunct w:val="0"/>
              <w:autoSpaceDE/>
              <w:autoSpaceDN/>
              <w:bidi w:val="0"/>
              <w:adjustRightInd w:val="0"/>
              <w:snapToGrid w:val="0"/>
              <w:spacing w:after="0" w:line="450"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本项目废气污染物排放及达标情况见下表。</w:t>
            </w:r>
          </w:p>
        </w:tc>
      </w:tr>
    </w:tbl>
    <w:p w14:paraId="22832DC5">
      <w:pPr>
        <w:rPr>
          <w:rFonts w:ascii="Times New Roman" w:hAnsi="Times New Roman" w:eastAsia="宋体"/>
          <w:color w:val="000000" w:themeColor="text1"/>
          <w:kern w:val="0"/>
          <w:sz w:val="24"/>
          <w:szCs w:val="24"/>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20"/>
      </w:tblGrid>
      <w:tr w14:paraId="09295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93" w:hRule="atLeast"/>
        </w:trPr>
        <w:tc>
          <w:tcPr>
            <w:tcW w:w="14220" w:type="dxa"/>
          </w:tcPr>
          <w:p w14:paraId="7557F737">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0" w:firstLineChars="0"/>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bidi="ar"/>
                <w14:textFill>
                  <w14:solidFill>
                    <w14:schemeClr w14:val="tx1"/>
                  </w14:solidFill>
                </w14:textFill>
              </w:rPr>
              <w:t>4-</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4</w:t>
            </w:r>
            <w:r>
              <w:rPr>
                <w:rFonts w:ascii="Times New Roman" w:hAnsi="Times New Roman" w:eastAsia="宋体"/>
                <w:b/>
                <w:bCs/>
                <w:color w:val="000000" w:themeColor="text1"/>
                <w:szCs w:val="21"/>
                <w:highlight w:val="none"/>
                <w:lang w:bidi="ar"/>
                <w14:textFill>
                  <w14:solidFill>
                    <w14:schemeClr w14:val="tx1"/>
                  </w14:solidFill>
                </w14:textFill>
              </w:rPr>
              <w:t xml:space="preserve">     </w:t>
            </w:r>
            <w:r>
              <w:rPr>
                <w:rFonts w:hint="eastAsia" w:ascii="Times New Roman" w:hAnsi="Times New Roman" w:eastAsia="宋体"/>
                <w:b/>
                <w:bCs/>
                <w:color w:val="000000" w:themeColor="text1"/>
                <w:szCs w:val="21"/>
                <w:highlight w:val="none"/>
                <w:lang w:bidi="ar"/>
                <w14:textFill>
                  <w14:solidFill>
                    <w14:schemeClr w14:val="tx1"/>
                  </w14:solidFill>
                </w14:textFill>
              </w:rPr>
              <w:t>废气污染物产生及排放情况一览表</w:t>
            </w:r>
          </w:p>
          <w:tbl>
            <w:tblPr>
              <w:tblStyle w:val="20"/>
              <w:tblW w:w="4967" w:type="pct"/>
              <w:jc w:val="center"/>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9"/>
              <w:gridCol w:w="2003"/>
              <w:gridCol w:w="1235"/>
              <w:gridCol w:w="1600"/>
              <w:gridCol w:w="4171"/>
              <w:gridCol w:w="1302"/>
              <w:gridCol w:w="1525"/>
              <w:gridCol w:w="1342"/>
            </w:tblGrid>
            <w:tr w14:paraId="17AC2864">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tcBorders>
                    <w:top w:val="single" w:color="auto" w:sz="12" w:space="0"/>
                  </w:tcBorders>
                  <w:vAlign w:val="center"/>
                </w:tcPr>
                <w:p w14:paraId="558334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序号</w:t>
                  </w:r>
                </w:p>
              </w:tc>
              <w:tc>
                <w:tcPr>
                  <w:tcW w:w="720" w:type="pct"/>
                  <w:tcBorders>
                    <w:top w:val="single" w:color="auto" w:sz="12" w:space="0"/>
                  </w:tcBorders>
                  <w:vAlign w:val="center"/>
                </w:tcPr>
                <w:p w14:paraId="2ADEEE1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产污环节</w:t>
                  </w:r>
                </w:p>
              </w:tc>
              <w:tc>
                <w:tcPr>
                  <w:tcW w:w="444" w:type="pct"/>
                  <w:tcBorders>
                    <w:top w:val="single" w:color="auto" w:sz="12" w:space="0"/>
                  </w:tcBorders>
                  <w:vAlign w:val="center"/>
                </w:tcPr>
                <w:p w14:paraId="47B0B1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产生量t/a</w:t>
                  </w:r>
                </w:p>
              </w:tc>
              <w:tc>
                <w:tcPr>
                  <w:tcW w:w="575" w:type="pct"/>
                  <w:tcBorders>
                    <w:top w:val="single" w:color="auto" w:sz="12" w:space="0"/>
                    <w:right w:val="nil"/>
                  </w:tcBorders>
                  <w:vAlign w:val="center"/>
                </w:tcPr>
                <w:p w14:paraId="70ADE2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产生速率kg/h</w:t>
                  </w:r>
                </w:p>
              </w:tc>
              <w:tc>
                <w:tcPr>
                  <w:tcW w:w="1499" w:type="pct"/>
                  <w:tcBorders>
                    <w:top w:val="single" w:color="auto" w:sz="12" w:space="0"/>
                    <w:right w:val="nil"/>
                  </w:tcBorders>
                  <w:vAlign w:val="center"/>
                </w:tcPr>
                <w:p w14:paraId="582733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治理措施</w:t>
                  </w:r>
                </w:p>
              </w:tc>
              <w:tc>
                <w:tcPr>
                  <w:tcW w:w="468" w:type="pct"/>
                  <w:tcBorders>
                    <w:top w:val="single" w:color="auto" w:sz="12" w:space="0"/>
                    <w:right w:val="nil"/>
                  </w:tcBorders>
                  <w:vAlign w:val="center"/>
                </w:tcPr>
                <w:p w14:paraId="284D9B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排放量t/a</w:t>
                  </w:r>
                </w:p>
              </w:tc>
              <w:tc>
                <w:tcPr>
                  <w:tcW w:w="548" w:type="pct"/>
                  <w:tcBorders>
                    <w:top w:val="single" w:color="auto" w:sz="12" w:space="0"/>
                    <w:right w:val="nil"/>
                  </w:tcBorders>
                  <w:vAlign w:val="center"/>
                </w:tcPr>
                <w:p w14:paraId="38C0B0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排放速率kg/h</w:t>
                  </w:r>
                </w:p>
              </w:tc>
              <w:tc>
                <w:tcPr>
                  <w:tcW w:w="482" w:type="pct"/>
                  <w:tcBorders>
                    <w:top w:val="single" w:color="auto" w:sz="12" w:space="0"/>
                    <w:right w:val="nil"/>
                  </w:tcBorders>
                  <w:vAlign w:val="center"/>
                </w:tcPr>
                <w:p w14:paraId="231B77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排放形式</w:t>
                  </w:r>
                </w:p>
              </w:tc>
            </w:tr>
            <w:tr w14:paraId="4EAE2DC5">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06EEB5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1</w:t>
                  </w:r>
                </w:p>
              </w:tc>
              <w:tc>
                <w:tcPr>
                  <w:tcW w:w="720" w:type="pct"/>
                  <w:vAlign w:val="center"/>
                </w:tcPr>
                <w:p w14:paraId="1E5BD4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原料</w:t>
                  </w:r>
                  <w:r>
                    <w:rPr>
                      <w:rFonts w:hint="eastAsia" w:ascii="Times New Roman" w:hAnsi="Times New Roman" w:eastAsia="宋体"/>
                      <w:color w:val="000000" w:themeColor="text1"/>
                      <w:szCs w:val="21"/>
                      <w:highlight w:val="none"/>
                      <w:lang w:eastAsia="zh-CN" w:bidi="ar"/>
                      <w14:textFill>
                        <w14:solidFill>
                          <w14:schemeClr w14:val="tx1"/>
                        </w14:solidFill>
                      </w14:textFill>
                    </w:rPr>
                    <w:t>装卸、堆存扬尘</w:t>
                  </w:r>
                </w:p>
              </w:tc>
              <w:tc>
                <w:tcPr>
                  <w:tcW w:w="444" w:type="pct"/>
                  <w:vAlign w:val="center"/>
                </w:tcPr>
                <w:p w14:paraId="1D1167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6.0429</w:t>
                  </w:r>
                </w:p>
              </w:tc>
              <w:tc>
                <w:tcPr>
                  <w:tcW w:w="575" w:type="pct"/>
                  <w:tcBorders>
                    <w:right w:val="nil"/>
                  </w:tcBorders>
                  <w:vAlign w:val="center"/>
                </w:tcPr>
                <w:p w14:paraId="7A07031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0.1727</w:t>
                  </w:r>
                </w:p>
              </w:tc>
              <w:tc>
                <w:tcPr>
                  <w:tcW w:w="1499" w:type="pct"/>
                  <w:tcBorders>
                    <w:right w:val="nil"/>
                  </w:tcBorders>
                  <w:vAlign w:val="center"/>
                </w:tcPr>
                <w:p w14:paraId="05F44C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料仓、配料仓（斗）均采用三面围挡+彩钢顶棚的形式设置，并在顶部设置有喷雾除尘装置（每个料仓设置3个喷雾点）</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w:t>
                  </w:r>
                  <w:r>
                    <w:rPr>
                      <w:rFonts w:hint="eastAsia" w:ascii="Times New Roman" w:hAnsi="Times New Roman" w:eastAsia="宋体"/>
                      <w:color w:val="000000" w:themeColor="text1"/>
                      <w:szCs w:val="21"/>
                      <w:highlight w:val="none"/>
                      <w:lang w:bidi="ar"/>
                      <w14:textFill>
                        <w14:solidFill>
                          <w14:schemeClr w14:val="tx1"/>
                        </w14:solidFill>
                      </w14:textFill>
                    </w:rPr>
                    <w:t>2台移动式除尘雾炮机。（</w:t>
                  </w:r>
                  <w:r>
                    <w:rPr>
                      <w:rFonts w:hint="eastAsia" w:ascii="Times New Roman" w:hAnsi="Times New Roman" w:eastAsia="宋体"/>
                      <w:color w:val="000000" w:themeColor="text1"/>
                      <w:szCs w:val="21"/>
                      <w:highlight w:val="none"/>
                      <w:lang w:eastAsia="zh-CN" w:bidi="ar"/>
                      <w14:textFill>
                        <w14:solidFill>
                          <w14:schemeClr w14:val="tx1"/>
                        </w14:solidFill>
                      </w14:textFill>
                    </w:rPr>
                    <w:t>综合</w:t>
                  </w:r>
                  <w:r>
                    <w:rPr>
                      <w:rFonts w:hint="eastAsia" w:ascii="Times New Roman" w:hAnsi="Times New Roman" w:eastAsia="宋体"/>
                      <w:color w:val="000000" w:themeColor="text1"/>
                      <w:szCs w:val="21"/>
                      <w:highlight w:val="none"/>
                      <w:lang w:bidi="ar"/>
                      <w14:textFill>
                        <w14:solidFill>
                          <w14:schemeClr w14:val="tx1"/>
                        </w14:solidFill>
                      </w14:textFill>
                    </w:rPr>
                    <w:t>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99.6056</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468" w:type="pct"/>
                  <w:tcBorders>
                    <w:right w:val="nil"/>
                  </w:tcBorders>
                  <w:vAlign w:val="center"/>
                </w:tcPr>
                <w:p w14:paraId="1EAE1B2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0.034</w:t>
                  </w:r>
                </w:p>
              </w:tc>
              <w:tc>
                <w:tcPr>
                  <w:tcW w:w="548" w:type="pct"/>
                  <w:tcBorders>
                    <w:right w:val="nil"/>
                  </w:tcBorders>
                  <w:vAlign w:val="center"/>
                </w:tcPr>
                <w:p w14:paraId="634FBA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0.0097</w:t>
                  </w:r>
                </w:p>
              </w:tc>
              <w:tc>
                <w:tcPr>
                  <w:tcW w:w="482" w:type="pct"/>
                  <w:tcBorders>
                    <w:right w:val="nil"/>
                  </w:tcBorders>
                  <w:vAlign w:val="center"/>
                </w:tcPr>
                <w:p w14:paraId="3F893F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7279BD69">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034E8F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p>
              </w:tc>
              <w:tc>
                <w:tcPr>
                  <w:tcW w:w="720" w:type="pct"/>
                  <w:vAlign w:val="center"/>
                </w:tcPr>
                <w:p w14:paraId="4FAEA04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骨料输送</w:t>
                  </w:r>
                </w:p>
              </w:tc>
              <w:tc>
                <w:tcPr>
                  <w:tcW w:w="444" w:type="pct"/>
                  <w:vAlign w:val="center"/>
                </w:tcPr>
                <w:p w14:paraId="5942A3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75" w:type="pct"/>
                  <w:tcBorders>
                    <w:right w:val="nil"/>
                  </w:tcBorders>
                  <w:vAlign w:val="center"/>
                </w:tcPr>
                <w:p w14:paraId="1E8536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1499" w:type="pct"/>
                  <w:tcBorders>
                    <w:right w:val="nil"/>
                  </w:tcBorders>
                  <w:vAlign w:val="center"/>
                </w:tcPr>
                <w:p w14:paraId="214BFA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密闭的输送廊道，并在皮带输送进料口设置喷淋抑尘装置</w:t>
                  </w:r>
                </w:p>
              </w:tc>
              <w:tc>
                <w:tcPr>
                  <w:tcW w:w="468" w:type="pct"/>
                  <w:tcBorders>
                    <w:right w:val="nil"/>
                  </w:tcBorders>
                  <w:vAlign w:val="center"/>
                </w:tcPr>
                <w:p w14:paraId="069CEC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48" w:type="pct"/>
                  <w:tcBorders>
                    <w:right w:val="nil"/>
                  </w:tcBorders>
                  <w:vAlign w:val="center"/>
                </w:tcPr>
                <w:p w14:paraId="5B267F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482" w:type="pct"/>
                  <w:tcBorders>
                    <w:right w:val="nil"/>
                  </w:tcBorders>
                  <w:vAlign w:val="center"/>
                </w:tcPr>
                <w:p w14:paraId="764D92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2B2D7CFE">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58232D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p>
              </w:tc>
              <w:tc>
                <w:tcPr>
                  <w:tcW w:w="720" w:type="pct"/>
                  <w:vAlign w:val="center"/>
                </w:tcPr>
                <w:p w14:paraId="3A2B44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储料罐呼吸口</w:t>
                  </w:r>
                </w:p>
              </w:tc>
              <w:tc>
                <w:tcPr>
                  <w:tcW w:w="444" w:type="pct"/>
                  <w:vAlign w:val="center"/>
                </w:tcPr>
                <w:p w14:paraId="576EE61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1.824</w:t>
                  </w:r>
                </w:p>
              </w:tc>
              <w:tc>
                <w:tcPr>
                  <w:tcW w:w="575" w:type="pct"/>
                  <w:tcBorders>
                    <w:right w:val="nil"/>
                  </w:tcBorders>
                  <w:vAlign w:val="center"/>
                </w:tcPr>
                <w:p w14:paraId="46976B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0.5211</w:t>
                  </w:r>
                </w:p>
              </w:tc>
              <w:tc>
                <w:tcPr>
                  <w:tcW w:w="1499" w:type="pct"/>
                  <w:tcBorders>
                    <w:right w:val="nil"/>
                  </w:tcBorders>
                  <w:vAlign w:val="center"/>
                </w:tcPr>
                <w:p w14:paraId="10844B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筒仓放空口处安装自动衔接输料口</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w:t>
                  </w:r>
                  <w:r>
                    <w:rPr>
                      <w:rFonts w:hint="eastAsia" w:ascii="Times New Roman" w:hAnsi="Times New Roman" w:eastAsia="宋体"/>
                      <w:color w:val="000000" w:themeColor="text1"/>
                      <w:szCs w:val="21"/>
                      <w:highlight w:val="none"/>
                      <w:lang w:bidi="ar"/>
                      <w14:textFill>
                        <w14:solidFill>
                          <w14:schemeClr w14:val="tx1"/>
                        </w14:solidFill>
                      </w14:textFill>
                    </w:rPr>
                    <w:t>仓顶除尘器（处理效率99.5%）处理后无组织排放</w:t>
                  </w:r>
                </w:p>
              </w:tc>
              <w:tc>
                <w:tcPr>
                  <w:tcW w:w="468" w:type="pct"/>
                  <w:tcBorders>
                    <w:right w:val="nil"/>
                  </w:tcBorders>
                  <w:vAlign w:val="center"/>
                </w:tcPr>
                <w:p w14:paraId="3C464B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0.0091</w:t>
                  </w:r>
                </w:p>
              </w:tc>
              <w:tc>
                <w:tcPr>
                  <w:tcW w:w="548" w:type="pct"/>
                  <w:tcBorders>
                    <w:right w:val="nil"/>
                  </w:tcBorders>
                  <w:vAlign w:val="center"/>
                </w:tcPr>
                <w:p w14:paraId="7573CD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0.0026</w:t>
                  </w:r>
                </w:p>
              </w:tc>
              <w:tc>
                <w:tcPr>
                  <w:tcW w:w="482" w:type="pct"/>
                  <w:tcBorders>
                    <w:right w:val="nil"/>
                  </w:tcBorders>
                  <w:vAlign w:val="center"/>
                </w:tcPr>
                <w:p w14:paraId="314EB8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7B90E9F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1CCE8F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w:t>
                  </w:r>
                </w:p>
              </w:tc>
              <w:tc>
                <w:tcPr>
                  <w:tcW w:w="720" w:type="pct"/>
                  <w:vAlign w:val="center"/>
                </w:tcPr>
                <w:p w14:paraId="06A07E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搅拌</w:t>
                  </w:r>
                  <w:r>
                    <w:rPr>
                      <w:rFonts w:hint="eastAsia" w:ascii="Times New Roman" w:hAnsi="Times New Roman" w:eastAsia="宋体"/>
                      <w:color w:val="000000" w:themeColor="text1"/>
                      <w:szCs w:val="21"/>
                      <w:highlight w:val="none"/>
                      <w:lang w:eastAsia="zh-CN" w:bidi="ar"/>
                      <w14:textFill>
                        <w14:solidFill>
                          <w14:schemeClr w14:val="tx1"/>
                        </w14:solidFill>
                      </w14:textFill>
                    </w:rPr>
                    <w:t>（含投料）粉尘</w:t>
                  </w:r>
                </w:p>
              </w:tc>
              <w:tc>
                <w:tcPr>
                  <w:tcW w:w="444" w:type="pct"/>
                  <w:vAlign w:val="center"/>
                </w:tcPr>
                <w:p w14:paraId="36E37A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13.8528</w:t>
                  </w:r>
                </w:p>
              </w:tc>
              <w:tc>
                <w:tcPr>
                  <w:tcW w:w="575" w:type="pct"/>
                  <w:tcBorders>
                    <w:right w:val="nil"/>
                  </w:tcBorders>
                  <w:vAlign w:val="center"/>
                </w:tcPr>
                <w:p w14:paraId="068501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3.9579</w:t>
                  </w:r>
                </w:p>
              </w:tc>
              <w:tc>
                <w:tcPr>
                  <w:tcW w:w="1499" w:type="pct"/>
                  <w:tcBorders>
                    <w:right w:val="nil"/>
                  </w:tcBorders>
                  <w:vAlign w:val="center"/>
                </w:tcPr>
                <w:p w14:paraId="6E2390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密闭搅拌机，且位于密闭厂房内，</w:t>
                  </w:r>
                  <w:r>
                    <w:rPr>
                      <w:rFonts w:hint="eastAsia" w:ascii="Times New Roman" w:hAnsi="Times New Roman" w:eastAsia="宋体"/>
                      <w:color w:val="000000" w:themeColor="text1"/>
                      <w:szCs w:val="21"/>
                      <w:highlight w:val="none"/>
                      <w:lang w:eastAsia="zh-CN" w:bidi="ar"/>
                      <w14:textFill>
                        <w14:solidFill>
                          <w14:schemeClr w14:val="tx1"/>
                        </w14:solidFill>
                      </w14:textFill>
                    </w:rPr>
                    <w:t>每套</w:t>
                  </w:r>
                  <w:r>
                    <w:rPr>
                      <w:rFonts w:ascii="Times New Roman" w:hAnsi="Times New Roman" w:eastAsia="宋体"/>
                      <w:color w:val="000000" w:themeColor="text1"/>
                      <w:szCs w:val="21"/>
                      <w:highlight w:val="none"/>
                      <w:lang w:bidi="ar"/>
                      <w14:textFill>
                        <w14:solidFill>
                          <w14:schemeClr w14:val="tx1"/>
                        </w14:solidFill>
                      </w14:textFill>
                    </w:rPr>
                    <w:t>搅拌系统配备一台</w:t>
                  </w:r>
                  <w:r>
                    <w:rPr>
                      <w:rFonts w:hint="eastAsia" w:ascii="Times New Roman" w:hAnsi="Times New Roman" w:eastAsia="宋体"/>
                      <w:color w:val="000000" w:themeColor="text1"/>
                      <w:szCs w:val="21"/>
                      <w:highlight w:val="none"/>
                      <w:lang w:bidi="ar"/>
                      <w14:textFill>
                        <w14:solidFill>
                          <w14:schemeClr w14:val="tx1"/>
                        </w14:solidFill>
                      </w14:textFill>
                    </w:rPr>
                    <w:t>布袋</w:t>
                  </w:r>
                  <w:r>
                    <w:rPr>
                      <w:rFonts w:ascii="Times New Roman" w:hAnsi="Times New Roman" w:eastAsia="宋体"/>
                      <w:color w:val="000000" w:themeColor="text1"/>
                      <w:szCs w:val="21"/>
                      <w:highlight w:val="none"/>
                      <w:lang w:bidi="ar"/>
                      <w14:textFill>
                        <w14:solidFill>
                          <w14:schemeClr w14:val="tx1"/>
                        </w14:solidFill>
                      </w14:textFill>
                    </w:rPr>
                    <w:t>除尘器</w:t>
                  </w:r>
                  <w:r>
                    <w:rPr>
                      <w:rFonts w:hint="eastAsia" w:ascii="Times New Roman" w:hAnsi="Times New Roman" w:eastAsia="宋体"/>
                      <w:color w:val="000000" w:themeColor="text1"/>
                      <w:szCs w:val="21"/>
                      <w:highlight w:val="none"/>
                      <w:lang w:bidi="ar"/>
                      <w14:textFill>
                        <w14:solidFill>
                          <w14:schemeClr w14:val="tx1"/>
                        </w14:solidFill>
                      </w14:textFill>
                    </w:rPr>
                    <w:t>（收集效率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99</w:t>
                  </w:r>
                  <w:r>
                    <w:rPr>
                      <w:rFonts w:hint="eastAsia" w:ascii="Times New Roman" w:hAnsi="Times New Roman" w:eastAsia="宋体"/>
                      <w:color w:val="000000" w:themeColor="text1"/>
                      <w:szCs w:val="21"/>
                      <w:highlight w:val="none"/>
                      <w:lang w:bidi="ar"/>
                      <w14:textFill>
                        <w14:solidFill>
                          <w14:schemeClr w14:val="tx1"/>
                        </w14:solidFill>
                      </w14:textFill>
                    </w:rPr>
                    <w:t>%，除尘效率9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w:t>
                  </w:r>
                  <w:r>
                    <w:rPr>
                      <w:rFonts w:hint="eastAsia" w:ascii="Times New Roman" w:hAnsi="Times New Roman" w:eastAsia="宋体"/>
                      <w:color w:val="000000" w:themeColor="text1"/>
                      <w:szCs w:val="21"/>
                      <w:highlight w:val="none"/>
                      <w:lang w:bidi="ar"/>
                      <w14:textFill>
                        <w14:solidFill>
                          <w14:schemeClr w14:val="tx1"/>
                        </w14:solidFill>
                      </w14:textFill>
                    </w:rPr>
                    <w:t>%），同时，在</w:t>
                  </w:r>
                  <w:r>
                    <w:rPr>
                      <w:rFonts w:hint="eastAsia" w:ascii="Times New Roman" w:hAnsi="Times New Roman" w:eastAsia="宋体"/>
                      <w:color w:val="000000" w:themeColor="text1"/>
                      <w:szCs w:val="21"/>
                      <w:highlight w:val="none"/>
                      <w:lang w:eastAsia="zh-CN" w:bidi="ar"/>
                      <w14:textFill>
                        <w14:solidFill>
                          <w14:schemeClr w14:val="tx1"/>
                        </w14:solidFill>
                      </w14:textFill>
                    </w:rPr>
                    <w:t>搅拌楼内安装</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洒水降尘（除尘效率70%）</w:t>
                  </w:r>
                </w:p>
              </w:tc>
              <w:tc>
                <w:tcPr>
                  <w:tcW w:w="468" w:type="pct"/>
                  <w:tcBorders>
                    <w:right w:val="nil"/>
                  </w:tcBorders>
                  <w:vAlign w:val="center"/>
                </w:tcPr>
                <w:p w14:paraId="663502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0.0827</w:t>
                  </w:r>
                </w:p>
              </w:tc>
              <w:tc>
                <w:tcPr>
                  <w:tcW w:w="548" w:type="pct"/>
                  <w:tcBorders>
                    <w:right w:val="nil"/>
                  </w:tcBorders>
                  <w:vAlign w:val="center"/>
                </w:tcPr>
                <w:p w14:paraId="7733854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0.0236</w:t>
                  </w:r>
                </w:p>
              </w:tc>
              <w:tc>
                <w:tcPr>
                  <w:tcW w:w="482" w:type="pct"/>
                  <w:tcBorders>
                    <w:right w:val="nil"/>
                  </w:tcBorders>
                  <w:vAlign w:val="center"/>
                </w:tcPr>
                <w:p w14:paraId="084520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693774DE">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2AC8D6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5</w:t>
                  </w:r>
                </w:p>
              </w:tc>
              <w:tc>
                <w:tcPr>
                  <w:tcW w:w="720" w:type="pct"/>
                  <w:vAlign w:val="center"/>
                </w:tcPr>
                <w:p w14:paraId="64183A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焊接烟尘</w:t>
                  </w:r>
                </w:p>
              </w:tc>
              <w:tc>
                <w:tcPr>
                  <w:tcW w:w="444" w:type="pct"/>
                  <w:vAlign w:val="center"/>
                </w:tcPr>
                <w:p w14:paraId="10AC67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0.0404</w:t>
                  </w:r>
                </w:p>
              </w:tc>
              <w:tc>
                <w:tcPr>
                  <w:tcW w:w="575" w:type="pct"/>
                  <w:tcBorders>
                    <w:right w:val="nil"/>
                  </w:tcBorders>
                  <w:vAlign w:val="center"/>
                </w:tcPr>
                <w:p w14:paraId="70EF93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0.0115</w:t>
                  </w:r>
                </w:p>
              </w:tc>
              <w:tc>
                <w:tcPr>
                  <w:tcW w:w="1499" w:type="pct"/>
                  <w:tcBorders>
                    <w:right w:val="nil"/>
                  </w:tcBorders>
                  <w:vAlign w:val="center"/>
                </w:tcPr>
                <w:p w14:paraId="1F2763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设置固定焊接区域，配备2</w:t>
                  </w:r>
                  <w:r>
                    <w:rPr>
                      <w:rFonts w:hint="eastAsia" w:ascii="Times New Roman" w:hAnsi="Times New Roman" w:eastAsia="宋体"/>
                      <w:color w:val="000000" w:themeColor="text1"/>
                      <w:szCs w:val="21"/>
                      <w:highlight w:val="none"/>
                      <w:lang w:bidi="ar"/>
                      <w14:textFill>
                        <w14:solidFill>
                          <w14:schemeClr w14:val="tx1"/>
                        </w14:solidFill>
                      </w14:textFill>
                    </w:rPr>
                    <w:t>台移动式焊烟净化器（收集效率80%，处理效率9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r>
                    <w:rPr>
                      <w:rFonts w:hint="eastAsia" w:ascii="Times New Roman" w:hAnsi="Times New Roman" w:eastAsia="宋体"/>
                      <w:color w:val="000000" w:themeColor="text1"/>
                      <w:szCs w:val="21"/>
                      <w:highlight w:val="none"/>
                      <w:lang w:bidi="ar"/>
                      <w14:textFill>
                        <w14:solidFill>
                          <w14:schemeClr w14:val="tx1"/>
                        </w14:solidFill>
                      </w14:textFill>
                    </w:rPr>
                    <w:t>%）处理后排放</w:t>
                  </w:r>
                </w:p>
              </w:tc>
              <w:tc>
                <w:tcPr>
                  <w:tcW w:w="468" w:type="pct"/>
                  <w:tcBorders>
                    <w:right w:val="nil"/>
                  </w:tcBorders>
                  <w:vAlign w:val="center"/>
                </w:tcPr>
                <w:p w14:paraId="10E1E4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0.0097</w:t>
                  </w:r>
                </w:p>
              </w:tc>
              <w:tc>
                <w:tcPr>
                  <w:tcW w:w="548" w:type="pct"/>
                  <w:tcBorders>
                    <w:right w:val="nil"/>
                  </w:tcBorders>
                  <w:vAlign w:val="center"/>
                </w:tcPr>
                <w:p w14:paraId="48B061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0.0028</w:t>
                  </w:r>
                </w:p>
              </w:tc>
              <w:tc>
                <w:tcPr>
                  <w:tcW w:w="482" w:type="pct"/>
                  <w:tcBorders>
                    <w:right w:val="nil"/>
                  </w:tcBorders>
                  <w:vAlign w:val="center"/>
                </w:tcPr>
                <w:p w14:paraId="6F8C2C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6A782D50">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504B62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6</w:t>
                  </w:r>
                </w:p>
              </w:tc>
              <w:tc>
                <w:tcPr>
                  <w:tcW w:w="720" w:type="pct"/>
                  <w:vAlign w:val="center"/>
                </w:tcPr>
                <w:p w14:paraId="574C06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汽车运输扬尘</w:t>
                  </w:r>
                </w:p>
              </w:tc>
              <w:tc>
                <w:tcPr>
                  <w:tcW w:w="444" w:type="pct"/>
                  <w:vAlign w:val="center"/>
                </w:tcPr>
                <w:p w14:paraId="634C6D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9.5896</w:t>
                  </w:r>
                </w:p>
              </w:tc>
              <w:tc>
                <w:tcPr>
                  <w:tcW w:w="575" w:type="pct"/>
                  <w:tcBorders>
                    <w:right w:val="nil"/>
                  </w:tcBorders>
                  <w:vAlign w:val="center"/>
                </w:tcPr>
                <w:p w14:paraId="7F9908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2.74</w:t>
                  </w:r>
                </w:p>
              </w:tc>
              <w:tc>
                <w:tcPr>
                  <w:tcW w:w="1499" w:type="pct"/>
                  <w:tcBorders>
                    <w:right w:val="nil"/>
                  </w:tcBorders>
                  <w:vAlign w:val="center"/>
                </w:tcPr>
                <w:p w14:paraId="03ACC6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地面硬化、运</w:t>
                  </w:r>
                  <w:r>
                    <w:rPr>
                      <w:rFonts w:hint="eastAsia" w:ascii="Times New Roman" w:hAnsi="Times New Roman" w:eastAsia="宋体"/>
                      <w:color w:val="000000" w:themeColor="text1"/>
                      <w:szCs w:val="21"/>
                      <w:highlight w:val="none"/>
                      <w:lang w:bidi="ar"/>
                      <w14:textFill>
                        <w14:solidFill>
                          <w14:schemeClr w14:val="tx1"/>
                        </w14:solidFill>
                      </w14:textFill>
                    </w:rPr>
                    <w:t>输车辆采用篷布进行遮蔽处理，控制装载量，禁止裸露、冒尖或超载运输，洒水降尘（除尘效率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85</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468" w:type="pct"/>
                  <w:tcBorders>
                    <w:right w:val="nil"/>
                  </w:tcBorders>
                  <w:vAlign w:val="center"/>
                </w:tcPr>
                <w:p w14:paraId="3B549A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1.4384</w:t>
                  </w:r>
                </w:p>
              </w:tc>
              <w:tc>
                <w:tcPr>
                  <w:tcW w:w="548" w:type="pct"/>
                  <w:tcBorders>
                    <w:right w:val="nil"/>
                  </w:tcBorders>
                  <w:vAlign w:val="center"/>
                </w:tcPr>
                <w:p w14:paraId="2B2D857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0.411</w:t>
                  </w:r>
                </w:p>
              </w:tc>
              <w:tc>
                <w:tcPr>
                  <w:tcW w:w="482" w:type="pct"/>
                  <w:tcBorders>
                    <w:right w:val="nil"/>
                  </w:tcBorders>
                  <w:vAlign w:val="center"/>
                </w:tcPr>
                <w:p w14:paraId="7DEB6B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1823DE3C">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2" w:type="pct"/>
                  <w:gridSpan w:val="2"/>
                  <w:vAlign w:val="center"/>
                </w:tcPr>
                <w:p w14:paraId="01D5D92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合计</w:t>
                  </w:r>
                </w:p>
              </w:tc>
              <w:tc>
                <w:tcPr>
                  <w:tcW w:w="1235" w:type="dxa"/>
                  <w:vAlign w:val="center"/>
                </w:tcPr>
                <w:p w14:paraId="433BF5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31.3497</w:t>
                  </w:r>
                </w:p>
              </w:tc>
              <w:tc>
                <w:tcPr>
                  <w:tcW w:w="1600" w:type="dxa"/>
                  <w:tcBorders>
                    <w:right w:val="nil"/>
                  </w:tcBorders>
                  <w:vAlign w:val="center"/>
                </w:tcPr>
                <w:p w14:paraId="7A3EEC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7.4032</w:t>
                  </w:r>
                </w:p>
              </w:tc>
              <w:tc>
                <w:tcPr>
                  <w:tcW w:w="1499" w:type="pct"/>
                  <w:tcBorders>
                    <w:right w:val="nil"/>
                  </w:tcBorders>
                  <w:vAlign w:val="center"/>
                </w:tcPr>
                <w:p w14:paraId="0448FC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合计</w:t>
                  </w:r>
                </w:p>
              </w:tc>
              <w:tc>
                <w:tcPr>
                  <w:tcW w:w="1302" w:type="dxa"/>
                  <w:tcBorders>
                    <w:right w:val="nil"/>
                  </w:tcBorders>
                  <w:vAlign w:val="center"/>
                </w:tcPr>
                <w:p w14:paraId="0A3495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1.5739</w:t>
                  </w:r>
                </w:p>
              </w:tc>
              <w:tc>
                <w:tcPr>
                  <w:tcW w:w="1525" w:type="dxa"/>
                  <w:tcBorders>
                    <w:right w:val="nil"/>
                  </w:tcBorders>
                  <w:vAlign w:val="center"/>
                </w:tcPr>
                <w:p w14:paraId="3261836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0.4497</w:t>
                  </w:r>
                </w:p>
              </w:tc>
              <w:tc>
                <w:tcPr>
                  <w:tcW w:w="482" w:type="pct"/>
                  <w:tcBorders>
                    <w:right w:val="nil"/>
                  </w:tcBorders>
                  <w:vAlign w:val="center"/>
                </w:tcPr>
                <w:p w14:paraId="32EBAF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w:t>
                  </w:r>
                </w:p>
              </w:tc>
            </w:tr>
            <w:tr w14:paraId="075012E2">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46631F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7</w:t>
                  </w:r>
                </w:p>
              </w:tc>
              <w:tc>
                <w:tcPr>
                  <w:tcW w:w="720" w:type="pct"/>
                  <w:vAlign w:val="center"/>
                </w:tcPr>
                <w:p w14:paraId="080EF75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食堂油烟</w:t>
                  </w:r>
                </w:p>
              </w:tc>
              <w:tc>
                <w:tcPr>
                  <w:tcW w:w="444" w:type="pct"/>
                  <w:vAlign w:val="center"/>
                </w:tcPr>
                <w:p w14:paraId="1AEAE0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0.0236</w:t>
                  </w:r>
                </w:p>
              </w:tc>
              <w:tc>
                <w:tcPr>
                  <w:tcW w:w="575" w:type="pct"/>
                  <w:tcBorders>
                    <w:right w:val="nil"/>
                  </w:tcBorders>
                  <w:vAlign w:val="center"/>
                </w:tcPr>
                <w:p w14:paraId="481CEC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0.0135</w:t>
                  </w:r>
                </w:p>
              </w:tc>
              <w:tc>
                <w:tcPr>
                  <w:tcW w:w="1499" w:type="pct"/>
                  <w:tcBorders>
                    <w:right w:val="nil"/>
                  </w:tcBorders>
                  <w:vAlign w:val="center"/>
                </w:tcPr>
                <w:p w14:paraId="5F415E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设置3台油烟净化器对油烟进行净化处理，净化效率约为75%，通过排烟管道引至屋顶高空排放</w:t>
                  </w:r>
                </w:p>
              </w:tc>
              <w:tc>
                <w:tcPr>
                  <w:tcW w:w="468" w:type="pct"/>
                  <w:tcBorders>
                    <w:right w:val="nil"/>
                  </w:tcBorders>
                  <w:vAlign w:val="center"/>
                </w:tcPr>
                <w:p w14:paraId="2F3B4E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0.0059</w:t>
                  </w:r>
                </w:p>
              </w:tc>
              <w:tc>
                <w:tcPr>
                  <w:tcW w:w="548" w:type="pct"/>
                  <w:tcBorders>
                    <w:right w:val="nil"/>
                  </w:tcBorders>
                  <w:vAlign w:val="center"/>
                </w:tcPr>
                <w:p w14:paraId="288888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0.0034</w:t>
                  </w:r>
                </w:p>
              </w:tc>
              <w:tc>
                <w:tcPr>
                  <w:tcW w:w="482" w:type="pct"/>
                  <w:tcBorders>
                    <w:right w:val="nil"/>
                  </w:tcBorders>
                  <w:vAlign w:val="center"/>
                </w:tcPr>
                <w:p w14:paraId="4FE3E1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454F2BBF">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4A358A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8</w:t>
                  </w:r>
                </w:p>
              </w:tc>
              <w:tc>
                <w:tcPr>
                  <w:tcW w:w="720" w:type="pct"/>
                  <w:vAlign w:val="center"/>
                </w:tcPr>
                <w:p w14:paraId="667B97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汽车尾气</w:t>
                  </w:r>
                </w:p>
              </w:tc>
              <w:tc>
                <w:tcPr>
                  <w:tcW w:w="444" w:type="pct"/>
                  <w:vAlign w:val="center"/>
                </w:tcPr>
                <w:p w14:paraId="2D784C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75" w:type="pct"/>
                  <w:tcBorders>
                    <w:right w:val="nil"/>
                  </w:tcBorders>
                  <w:vAlign w:val="center"/>
                </w:tcPr>
                <w:p w14:paraId="218C34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1499" w:type="pct"/>
                  <w:tcBorders>
                    <w:right w:val="nil"/>
                  </w:tcBorders>
                  <w:vAlign w:val="center"/>
                </w:tcPr>
                <w:p w14:paraId="1027B29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自然扩散</w:t>
                  </w:r>
                </w:p>
              </w:tc>
              <w:tc>
                <w:tcPr>
                  <w:tcW w:w="468" w:type="pct"/>
                  <w:tcBorders>
                    <w:right w:val="nil"/>
                  </w:tcBorders>
                  <w:vAlign w:val="center"/>
                </w:tcPr>
                <w:p w14:paraId="3EED52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48" w:type="pct"/>
                  <w:tcBorders>
                    <w:right w:val="nil"/>
                  </w:tcBorders>
                  <w:vAlign w:val="center"/>
                </w:tcPr>
                <w:p w14:paraId="0D68BB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482" w:type="pct"/>
                  <w:tcBorders>
                    <w:right w:val="nil"/>
                  </w:tcBorders>
                  <w:vAlign w:val="center"/>
                </w:tcPr>
                <w:p w14:paraId="3C8D47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0EE0B1A7">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2" w:type="pct"/>
                  <w:vAlign w:val="center"/>
                </w:tcPr>
                <w:p w14:paraId="1DE7D4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9</w:t>
                  </w:r>
                </w:p>
              </w:tc>
              <w:tc>
                <w:tcPr>
                  <w:tcW w:w="720" w:type="pct"/>
                  <w:vAlign w:val="center"/>
                </w:tcPr>
                <w:p w14:paraId="77305E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备用发电机</w:t>
                  </w:r>
                </w:p>
              </w:tc>
              <w:tc>
                <w:tcPr>
                  <w:tcW w:w="444" w:type="pct"/>
                  <w:vAlign w:val="center"/>
                </w:tcPr>
                <w:p w14:paraId="32B471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75" w:type="pct"/>
                  <w:tcBorders>
                    <w:right w:val="nil"/>
                  </w:tcBorders>
                  <w:vAlign w:val="center"/>
                </w:tcPr>
                <w:p w14:paraId="31FE6A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1499" w:type="pct"/>
                  <w:tcBorders>
                    <w:right w:val="nil"/>
                  </w:tcBorders>
                  <w:vAlign w:val="center"/>
                </w:tcPr>
                <w:p w14:paraId="778D89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发电机自带消烟除尘处理，燃油废气经排风系统收集后经</w:t>
                  </w:r>
                  <w:r>
                    <w:rPr>
                      <w:rFonts w:hint="eastAsia" w:ascii="Times New Roman" w:hAnsi="Times New Roman" w:eastAsia="宋体"/>
                      <w:color w:val="000000" w:themeColor="text1"/>
                      <w:szCs w:val="21"/>
                      <w:highlight w:val="none"/>
                      <w:lang w:eastAsia="zh-CN" w:bidi="ar"/>
                      <w14:textFill>
                        <w14:solidFill>
                          <w14:schemeClr w14:val="tx1"/>
                        </w14:solidFill>
                      </w14:textFill>
                    </w:rPr>
                    <w:t>专用烟道排放</w:t>
                  </w:r>
                </w:p>
              </w:tc>
              <w:tc>
                <w:tcPr>
                  <w:tcW w:w="468" w:type="pct"/>
                  <w:tcBorders>
                    <w:right w:val="nil"/>
                  </w:tcBorders>
                  <w:vAlign w:val="center"/>
                </w:tcPr>
                <w:p w14:paraId="216296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48" w:type="pct"/>
                  <w:tcBorders>
                    <w:right w:val="nil"/>
                  </w:tcBorders>
                  <w:vAlign w:val="center"/>
                </w:tcPr>
                <w:p w14:paraId="35077E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482" w:type="pct"/>
                  <w:tcBorders>
                    <w:right w:val="nil"/>
                  </w:tcBorders>
                  <w:vAlign w:val="center"/>
                </w:tcPr>
                <w:p w14:paraId="3F39D2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bl>
          <w:p w14:paraId="11B315B3">
            <w:pPr>
              <w:pStyle w:val="2"/>
              <w:rPr>
                <w:color w:val="000000" w:themeColor="text1"/>
                <w:highlight w:val="none"/>
                <w14:textFill>
                  <w14:solidFill>
                    <w14:schemeClr w14:val="tx1"/>
                  </w14:solidFill>
                </w14:textFill>
              </w:rPr>
            </w:pPr>
          </w:p>
        </w:tc>
      </w:tr>
    </w:tbl>
    <w:p w14:paraId="3CF411EA">
      <w:pPr>
        <w:pStyle w:val="2"/>
        <w:ind w:left="0" w:leftChars="0"/>
        <w:rPr>
          <w:color w:val="000000" w:themeColor="text1"/>
          <w:highlight w:val="none"/>
          <w14:textFill>
            <w14:solidFill>
              <w14:schemeClr w14:val="tx1"/>
            </w14:solidFill>
          </w14:textFill>
        </w:rPr>
        <w:sectPr>
          <w:pgSz w:w="16838" w:h="11906" w:orient="landscape"/>
          <w:pgMar w:top="1474" w:right="1417" w:bottom="1474" w:left="1417"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6"/>
        <w:gridCol w:w="8158"/>
      </w:tblGrid>
      <w:tr w14:paraId="4A48C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500" w:type="pct"/>
            <w:vAlign w:val="center"/>
          </w:tcPr>
          <w:p w14:paraId="320E0A9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color w:val="000000" w:themeColor="text1"/>
                <w:highlight w:val="none"/>
                <w14:textFill>
                  <w14:solidFill>
                    <w14:schemeClr w14:val="tx1"/>
                  </w14:solidFill>
                </w14:textFill>
              </w:rPr>
            </w:pPr>
            <w:r>
              <w:rPr>
                <w:rFonts w:hint="eastAsia" w:ascii="Times New Roman" w:hAnsi="Times New Roman" w:eastAsia="宋体"/>
                <w:bCs/>
                <w:color w:val="000000" w:themeColor="text1"/>
                <w:spacing w:val="10"/>
                <w:sz w:val="24"/>
                <w:szCs w:val="21"/>
                <w:highlight w:val="none"/>
                <w14:textFill>
                  <w14:solidFill>
                    <w14:schemeClr w14:val="tx1"/>
                  </w14:solidFill>
                </w14:textFill>
              </w:rPr>
              <w:t>运营期环境影响和保护措施</w:t>
            </w:r>
          </w:p>
        </w:tc>
        <w:tc>
          <w:tcPr>
            <w:tcW w:w="4015" w:type="pct"/>
          </w:tcPr>
          <w:p w14:paraId="37877BF3">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1</w:t>
            </w:r>
            <w:r>
              <w:rPr>
                <w:rFonts w:hint="eastAsia"/>
                <w:b/>
                <w:bCs/>
                <w:color w:val="000000" w:themeColor="text1"/>
                <w:sz w:val="24"/>
                <w:szCs w:val="24"/>
                <w:highlight w:val="none"/>
                <w14:textFill>
                  <w14:solidFill>
                    <w14:schemeClr w14:val="tx1"/>
                  </w14:solidFill>
                </w14:textFill>
              </w:rPr>
              <w:t>、废气治理措施可行性分析</w:t>
            </w:r>
          </w:p>
          <w:p w14:paraId="059F584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（1）仓顶除尘器</w:t>
            </w:r>
          </w:p>
          <w:p w14:paraId="0D1EA1B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仓顶除尘器筒述仓顶除尘器是一种用在料仓顶部的除尘设备。广泛用于过滤气体中细小的，非纤维性的干燥粉尘或在工艺流程中回收干燥粉料的一种除尘设备。通过布袋将料仓内漂浮的粉尘颗粒隔离开，并将干净的空气排放到大气中，以此来保护环境。仓顶除尘器工作原理含尘气体由进风口进入除尘器箱体内，细小尘粒由于布袋的多种效应作用，被滞阻在布袋外壁。净化后的气体通过布袋上箱体出风口排出。随着使用时间的增长，布袋表面吸附的粉尘增多，布袋的透气性减弱，使除尘器阻力不断增大。为保证除尘器的阻力控制在限定的范围之内，由脉冲控制仪发出信号，循序打开电磁脉冲阀，使气包内的压缩空气由喷吹管各喷孔喷射到对应的文氏管（称为一次风），并在高速气流通过文氏管时诱导数倍于一次风的周围空气（称为二次风）进入滤筒，造成布袋急剧膨胀，由于反向脉冲气流的冲击作用很快消失，布袋又急剧收缩，这样使积附在布袋外壁上的粉尘被清除，落下的灰尘进入灰库。</w:t>
            </w:r>
          </w:p>
          <w:p w14:paraId="41E97C3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（2）移动式焊烟净化器</w:t>
            </w:r>
          </w:p>
          <w:p w14:paraId="7DCD6C4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焊烟通过风机引力作用，经万向集尘罩吸入设备进风口，设备进风口处设有阻火器，火花经阻火器被阻留；烟尘气体进入沉降室，利用重力与上行气流，将粗粒尘直接降至沉灰抽屉，微粒烟尘被滤芯捕集在外表面；洁净气体经滤芯过滤净化后，经出风口达标排出。对颗粒物（焊接烟尘）效率9</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w:t>
            </w:r>
          </w:p>
          <w:p w14:paraId="4488E58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本项目颗粒物均为无组织排放，根据据《排污许可证申请与核发技术规范 水泥工业》（HJ847-2017）中无组织控制要求：重点地区粉状物料全部密闭储存、其他物料全部封闭储存，封闭式皮带、斗提、斜槽运输，粉煤灰采用密闭罐车运输，下料口应设置集尘罩并配量高效袋式除尘器</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库顶等泄压口配备高效蜓式除尘器。</w:t>
            </w:r>
          </w:p>
          <w:p w14:paraId="0E2D804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本项目粉料采用罐车运输，直接储存于筒仓，筒仓泄压口设有脉冲袋式除尘器；砂和石子储存于封闭的室内同时配套喷雾系统，采用封闭式皮带运输</w:t>
            </w:r>
            <w:r>
              <w:rPr>
                <w:rFonts w:hint="eastAsia"/>
                <w:color w:val="000000" w:themeColor="text1"/>
                <w:sz w:val="24"/>
                <w:szCs w:val="24"/>
                <w:highlight w:val="none"/>
                <w:lang w:eastAsia="zh-CN"/>
                <w14:textFill>
                  <w14:solidFill>
                    <w14:schemeClr w14:val="tx1"/>
                  </w14:solidFill>
                </w14:textFill>
              </w:rPr>
              <w:t>并于进料口安装</w:t>
            </w:r>
            <w:r>
              <w:rPr>
                <w:rFonts w:hint="eastAsia"/>
                <w:color w:val="000000" w:themeColor="text1"/>
                <w:sz w:val="24"/>
                <w:szCs w:val="24"/>
                <w:highlight w:val="none"/>
                <w14:textFill>
                  <w14:solidFill>
                    <w14:schemeClr w14:val="tx1"/>
                  </w14:solidFill>
                </w14:textFill>
              </w:rPr>
              <w:t>喷雾系统，搅拌楼设置仓顶除尘器</w:t>
            </w:r>
            <w:r>
              <w:rPr>
                <w:rFonts w:hint="eastAsia"/>
                <w:color w:val="000000" w:themeColor="text1"/>
                <w:sz w:val="24"/>
                <w:szCs w:val="24"/>
                <w:highlight w:val="none"/>
                <w:lang w:eastAsia="zh-CN"/>
                <w14:textFill>
                  <w14:solidFill>
                    <w14:schemeClr w14:val="tx1"/>
                  </w14:solidFill>
                </w14:textFill>
              </w:rPr>
              <w:t>并</w:t>
            </w:r>
            <w:r>
              <w:rPr>
                <w:rFonts w:hint="eastAsia"/>
                <w:color w:val="000000" w:themeColor="text1"/>
                <w:sz w:val="24"/>
                <w:szCs w:val="24"/>
                <w:highlight w:val="none"/>
                <w14:textFill>
                  <w14:solidFill>
                    <w14:schemeClr w14:val="tx1"/>
                  </w14:solidFill>
                </w14:textFill>
              </w:rPr>
              <w:t>配套喷雾系统，《排污许可证申请与核发技术规范 水泥工业》（HJ847-2017）中无组织控制要求，污染治理措施可行。</w:t>
            </w:r>
          </w:p>
          <w:p w14:paraId="0A014F0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2</w:t>
            </w:r>
            <w:r>
              <w:rPr>
                <w:rFonts w:hint="eastAsia"/>
                <w:b/>
                <w:bCs/>
                <w:color w:val="000000" w:themeColor="text1"/>
                <w:sz w:val="24"/>
                <w:szCs w:val="24"/>
                <w:highlight w:val="none"/>
                <w14:textFill>
                  <w14:solidFill>
                    <w14:schemeClr w14:val="tx1"/>
                  </w14:solidFill>
                </w14:textFill>
              </w:rPr>
              <w:t>、</w:t>
            </w:r>
            <w:r>
              <w:rPr>
                <w:rFonts w:hint="eastAsia"/>
                <w:b/>
                <w:bCs/>
                <w:color w:val="000000" w:themeColor="text1"/>
                <w:sz w:val="24"/>
                <w:szCs w:val="24"/>
                <w:highlight w:val="none"/>
                <w:lang w:eastAsia="zh-CN"/>
                <w14:textFill>
                  <w14:solidFill>
                    <w14:schemeClr w14:val="tx1"/>
                  </w14:solidFill>
                </w14:textFill>
              </w:rPr>
              <w:t>大气监测计划</w:t>
            </w:r>
          </w:p>
          <w:p w14:paraId="598F378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根据《排污单位自行监测技术指南 总则》（HJ819</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-2017</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）文件要求，项目投产后，企业应定期委托组织具有监测资质的单位开展废气监测。项目废气监测要求具体如下表所示。</w:t>
            </w:r>
          </w:p>
          <w:p w14:paraId="682D444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b/>
                <w:color w:val="000000" w:themeColor="text1"/>
                <w:szCs w:val="21"/>
                <w:highlight w:val="none"/>
                <w:lang w:eastAsia="zh-CN"/>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表4-</w:t>
            </w:r>
            <w:r>
              <w:rPr>
                <w:rFonts w:hint="eastAsia" w:ascii="Times New Roman" w:hAnsi="Times New Roman" w:eastAsia="宋体"/>
                <w:b/>
                <w:color w:val="000000" w:themeColor="text1"/>
                <w:szCs w:val="21"/>
                <w:highlight w:val="none"/>
                <w:lang w:val="en-US" w:eastAsia="zh-CN"/>
                <w14:textFill>
                  <w14:solidFill>
                    <w14:schemeClr w14:val="tx1"/>
                  </w14:solidFill>
                </w14:textFill>
              </w:rPr>
              <w:t>5</w:t>
            </w:r>
            <w:r>
              <w:rPr>
                <w:rFonts w:ascii="Times New Roman" w:hAnsi="Times New Roman" w:eastAsia="宋体"/>
                <w:b/>
                <w:color w:val="000000" w:themeColor="text1"/>
                <w:szCs w:val="21"/>
                <w:highlight w:val="none"/>
                <w14:textFill>
                  <w14:solidFill>
                    <w14:schemeClr w14:val="tx1"/>
                  </w14:solidFill>
                </w14:textFill>
              </w:rPr>
              <w:t xml:space="preserve">    废气监测</w:t>
            </w:r>
            <w:r>
              <w:rPr>
                <w:rFonts w:hint="eastAsia" w:ascii="Times New Roman" w:hAnsi="Times New Roman" w:eastAsia="宋体"/>
                <w:b/>
                <w:color w:val="000000" w:themeColor="text1"/>
                <w:szCs w:val="21"/>
                <w:highlight w:val="none"/>
                <w:lang w:eastAsia="zh-CN"/>
                <w14:textFill>
                  <w14:solidFill>
                    <w14:schemeClr w14:val="tx1"/>
                  </w14:solidFill>
                </w14:textFill>
              </w:rPr>
              <w:t>计划</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1489"/>
              <w:gridCol w:w="1393"/>
              <w:gridCol w:w="3242"/>
            </w:tblGrid>
            <w:tr w14:paraId="0D0F3A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3" w:type="pct"/>
                  <w:tcBorders>
                    <w:tl2br w:val="nil"/>
                    <w:tr2bl w:val="nil"/>
                  </w:tcBorders>
                  <w:vAlign w:val="center"/>
                </w:tcPr>
                <w:p w14:paraId="16D9F1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监测点位</w:t>
                  </w:r>
                </w:p>
              </w:tc>
              <w:tc>
                <w:tcPr>
                  <w:tcW w:w="937" w:type="pct"/>
                  <w:tcBorders>
                    <w:tl2br w:val="nil"/>
                    <w:tr2bl w:val="nil"/>
                  </w:tcBorders>
                  <w:vAlign w:val="center"/>
                </w:tcPr>
                <w:p w14:paraId="676D95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监测因子</w:t>
                  </w:r>
                </w:p>
              </w:tc>
              <w:tc>
                <w:tcPr>
                  <w:tcW w:w="877" w:type="pct"/>
                  <w:tcBorders>
                    <w:tl2br w:val="nil"/>
                    <w:tr2bl w:val="nil"/>
                  </w:tcBorders>
                  <w:vAlign w:val="center"/>
                </w:tcPr>
                <w:p w14:paraId="19A184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监测频次</w:t>
                  </w:r>
                </w:p>
              </w:tc>
              <w:tc>
                <w:tcPr>
                  <w:tcW w:w="2041" w:type="pct"/>
                  <w:tcBorders>
                    <w:tl2br w:val="nil"/>
                    <w:tr2bl w:val="nil"/>
                  </w:tcBorders>
                  <w:vAlign w:val="center"/>
                </w:tcPr>
                <w:p w14:paraId="6088FF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color w:val="000000" w:themeColor="text1"/>
                      <w:szCs w:val="21"/>
                      <w:highlight w:val="none"/>
                      <w:lang w:eastAsia="zh-CN"/>
                      <w14:textFill>
                        <w14:solidFill>
                          <w14:schemeClr w14:val="tx1"/>
                        </w14:solidFill>
                      </w14:textFill>
                    </w:rPr>
                  </w:pPr>
                  <w:r>
                    <w:rPr>
                      <w:rFonts w:hint="eastAsia" w:ascii="Times New Roman" w:hAnsi="Times New Roman" w:eastAsia="宋体"/>
                      <w:b/>
                      <w:color w:val="000000" w:themeColor="text1"/>
                      <w:szCs w:val="21"/>
                      <w:highlight w:val="none"/>
                      <w:lang w:eastAsia="zh-CN"/>
                      <w14:textFill>
                        <w14:solidFill>
                          <w14:schemeClr w14:val="tx1"/>
                        </w14:solidFill>
                      </w14:textFill>
                    </w:rPr>
                    <w:t>执行标准</w:t>
                  </w:r>
                </w:p>
              </w:tc>
            </w:tr>
            <w:tr w14:paraId="7578C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3" w:type="pct"/>
                  <w:tcBorders>
                    <w:tl2br w:val="nil"/>
                    <w:tr2bl w:val="nil"/>
                  </w:tcBorders>
                  <w:vAlign w:val="center"/>
                </w:tcPr>
                <w:p w14:paraId="50659B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Cs w:val="21"/>
                      <w:highlight w:val="none"/>
                      <w14:textFill>
                        <w14:solidFill>
                          <w14:schemeClr w14:val="tx1"/>
                        </w14:solidFill>
                      </w14:textFill>
                    </w:rPr>
                  </w:pPr>
                  <w:r>
                    <w:rPr>
                      <w:rFonts w:ascii="Times New Roman" w:hAnsi="Times New Roman" w:eastAsia="宋体"/>
                      <w:bCs/>
                      <w:color w:val="000000" w:themeColor="text1"/>
                      <w:szCs w:val="21"/>
                      <w:highlight w:val="none"/>
                      <w14:textFill>
                        <w14:solidFill>
                          <w14:schemeClr w14:val="tx1"/>
                        </w14:solidFill>
                      </w14:textFill>
                    </w:rPr>
                    <w:t>厂界</w:t>
                  </w:r>
                </w:p>
              </w:tc>
              <w:tc>
                <w:tcPr>
                  <w:tcW w:w="937" w:type="pct"/>
                  <w:tcBorders>
                    <w:tl2br w:val="nil"/>
                    <w:tr2bl w:val="nil"/>
                  </w:tcBorders>
                  <w:vAlign w:val="center"/>
                </w:tcPr>
                <w:p w14:paraId="44B69DE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Cs w:val="21"/>
                      <w:highlight w:val="none"/>
                      <w14:textFill>
                        <w14:solidFill>
                          <w14:schemeClr w14:val="tx1"/>
                        </w14:solidFill>
                      </w14:textFill>
                    </w:rPr>
                  </w:pPr>
                  <w:r>
                    <w:rPr>
                      <w:rFonts w:ascii="Times New Roman" w:hAnsi="Times New Roman" w:eastAsia="宋体"/>
                      <w:bCs/>
                      <w:color w:val="000000" w:themeColor="text1"/>
                      <w:szCs w:val="21"/>
                      <w:highlight w:val="none"/>
                      <w14:textFill>
                        <w14:solidFill>
                          <w14:schemeClr w14:val="tx1"/>
                        </w14:solidFill>
                      </w14:textFill>
                    </w:rPr>
                    <w:t>颗粒物</w:t>
                  </w:r>
                </w:p>
              </w:tc>
              <w:tc>
                <w:tcPr>
                  <w:tcW w:w="877" w:type="pct"/>
                  <w:tcBorders>
                    <w:tl2br w:val="nil"/>
                    <w:tr2bl w:val="nil"/>
                  </w:tcBorders>
                  <w:vAlign w:val="center"/>
                </w:tcPr>
                <w:p w14:paraId="4C244D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Cs w:val="21"/>
                      <w:highlight w:val="none"/>
                      <w14:textFill>
                        <w14:solidFill>
                          <w14:schemeClr w14:val="tx1"/>
                        </w14:solidFill>
                      </w14:textFill>
                    </w:rPr>
                  </w:pPr>
                  <w:r>
                    <w:rPr>
                      <w:rFonts w:ascii="Times New Roman" w:hAnsi="Times New Roman" w:eastAsia="宋体"/>
                      <w:bCs/>
                      <w:color w:val="000000" w:themeColor="text1"/>
                      <w:szCs w:val="21"/>
                      <w:highlight w:val="none"/>
                      <w14:textFill>
                        <w14:solidFill>
                          <w14:schemeClr w14:val="tx1"/>
                        </w14:solidFill>
                      </w14:textFill>
                    </w:rPr>
                    <w:t>1次/半年</w:t>
                  </w:r>
                </w:p>
              </w:tc>
              <w:tc>
                <w:tcPr>
                  <w:tcW w:w="2041" w:type="pct"/>
                  <w:tcBorders>
                    <w:tl2br w:val="nil"/>
                    <w:tr2bl w:val="nil"/>
                  </w:tcBorders>
                  <w:vAlign w:val="center"/>
                </w:tcPr>
                <w:p w14:paraId="1BF926A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Cs/>
                      <w:color w:val="000000" w:themeColor="text1"/>
                      <w:szCs w:val="21"/>
                      <w:highlight w:val="none"/>
                      <w:lang w:eastAsia="zh-CN"/>
                      <w14:textFill>
                        <w14:solidFill>
                          <w14:schemeClr w14:val="tx1"/>
                        </w14:solidFill>
                      </w14:textFill>
                    </w:rPr>
                  </w:pPr>
                  <w:r>
                    <w:rPr>
                      <w:rFonts w:hint="eastAsia" w:ascii="Times New Roman" w:hAnsi="Times New Roman" w:eastAsia="宋体"/>
                      <w:bCs/>
                      <w:color w:val="000000" w:themeColor="text1"/>
                      <w:szCs w:val="21"/>
                      <w:highlight w:val="none"/>
                      <w:lang w:eastAsia="zh-CN"/>
                      <w14:textFill>
                        <w14:solidFill>
                          <w14:schemeClr w14:val="tx1"/>
                        </w14:solidFill>
                      </w14:textFill>
                    </w:rPr>
                    <w:t>《四川省水泥工业大气污染物排放标准》（DB51 2864 -2021）中大气污染物无组织排放限值</w:t>
                  </w:r>
                </w:p>
              </w:tc>
            </w:tr>
          </w:tbl>
          <w:p w14:paraId="139AC4DE">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3</w:t>
            </w:r>
            <w:r>
              <w:rPr>
                <w:rFonts w:hint="eastAsia"/>
                <w:b/>
                <w:bCs/>
                <w:color w:val="000000" w:themeColor="text1"/>
                <w:sz w:val="24"/>
                <w:szCs w:val="24"/>
                <w:highlight w:val="none"/>
                <w14:textFill>
                  <w14:solidFill>
                    <w14:schemeClr w14:val="tx1"/>
                  </w14:solidFill>
                </w14:textFill>
              </w:rPr>
              <w:t>、非正常排放影响分析</w:t>
            </w:r>
          </w:p>
          <w:p w14:paraId="7AFA573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非正常排放是指生产过程中开停工、设备检修、工艺设备运转异常等非正常工况下的污染物排放，以及污染物排放控制措施达不到应有效率等情况下的排放。本项目发生非正常排放主要为以下情形：</w:t>
            </w:r>
          </w:p>
          <w:p w14:paraId="0CCDBDF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营运期废气处理系统设施故障主要表现在除尘设施检修、更换部件等过程，造成废气治理效果达不到处理要求甚至处理效率为零的情况，发生率每年大约1~3次，每次持续时间在1小时内。考虑最坏的情况，各废气处理系统净化效率下降至0%。</w:t>
            </w:r>
          </w:p>
          <w:p w14:paraId="21DB616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为防止非正常排放下对环境的影响，本评价要求建设单位应落实以下要求：</w:t>
            </w:r>
          </w:p>
          <w:p w14:paraId="25BB8E4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①定期对废气环保设施设备进行检修，确保设备稳定、有效运行。</w:t>
            </w:r>
          </w:p>
          <w:p w14:paraId="54E050E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w:t>
            </w:r>
            <w:r>
              <w:rPr>
                <w:color w:val="000000" w:themeColor="text1"/>
                <w:sz w:val="24"/>
                <w:szCs w:val="24"/>
                <w:highlight w:val="none"/>
                <w14:textFill>
                  <w14:solidFill>
                    <w14:schemeClr w14:val="tx1"/>
                  </w14:solidFill>
                </w14:textFill>
              </w:rPr>
              <w:t>各废气处理设备尽可能设置备用零部件，一旦设备出现故障，立即更换并启用新部件，减少故障持续时间。</w:t>
            </w:r>
          </w:p>
          <w:p w14:paraId="13AFF9A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二、水污染物产生及治理措施</w:t>
            </w:r>
          </w:p>
          <w:p w14:paraId="6FF2F0F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1、生产废水</w:t>
            </w:r>
            <w:r>
              <w:rPr>
                <w:rFonts w:hint="eastAsia"/>
                <w:b/>
                <w:bCs/>
                <w:color w:val="000000" w:themeColor="text1"/>
                <w:sz w:val="24"/>
                <w:szCs w:val="24"/>
                <w:highlight w:val="none"/>
                <w:lang w:eastAsia="zh-CN"/>
                <w14:textFill>
                  <w14:solidFill>
                    <w14:schemeClr w14:val="tx1"/>
                  </w14:solidFill>
                </w14:textFill>
              </w:rPr>
              <w:t>产生量及治理措施</w:t>
            </w:r>
          </w:p>
          <w:p w14:paraId="4253BAC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（1）商品混凝土生产用水</w:t>
            </w:r>
          </w:p>
          <w:p w14:paraId="03C0E86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根据四川省人民政府关于印发《四川省用水定额》的通知（川府函【2021】8号）中表23 非金属矿物制品业用水定额表，用水定额如下：</w:t>
            </w:r>
          </w:p>
          <w:p w14:paraId="293C9FE6">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表</w:t>
            </w:r>
            <w:r>
              <w:rPr>
                <w:rFonts w:hint="eastAsia"/>
                <w:b/>
                <w:bCs/>
                <w:color w:val="000000" w:themeColor="text1"/>
                <w:szCs w:val="21"/>
                <w:highlight w:val="none"/>
                <w:lang w:val="en-US" w:eastAsia="zh-CN"/>
                <w14:textFill>
                  <w14:solidFill>
                    <w14:schemeClr w14:val="tx1"/>
                  </w14:solidFill>
                </w14:textFill>
              </w:rPr>
              <w:t>4-6</w:t>
            </w:r>
            <w:r>
              <w:rPr>
                <w:rFonts w:hint="eastAsia"/>
                <w:b/>
                <w:bCs/>
                <w:color w:val="000000" w:themeColor="text1"/>
                <w:szCs w:val="21"/>
                <w:highlight w:val="none"/>
                <w14:textFill>
                  <w14:solidFill>
                    <w14:schemeClr w14:val="tx1"/>
                  </w14:solidFill>
                </w14:textFill>
              </w:rPr>
              <w:t xml:space="preserve">     本项目商品混凝土及砼构件生产用水</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04"/>
              <w:gridCol w:w="1047"/>
              <w:gridCol w:w="953"/>
              <w:gridCol w:w="1156"/>
              <w:gridCol w:w="1021"/>
              <w:gridCol w:w="778"/>
              <w:gridCol w:w="1040"/>
              <w:gridCol w:w="1040"/>
            </w:tblGrid>
            <w:tr w14:paraId="3F2534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702AFD2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行业代码</w:t>
                  </w:r>
                </w:p>
              </w:tc>
              <w:tc>
                <w:tcPr>
                  <w:tcW w:w="659" w:type="pct"/>
                  <w:tcBorders>
                    <w:tl2br w:val="nil"/>
                    <w:tr2bl w:val="nil"/>
                  </w:tcBorders>
                  <w:vAlign w:val="center"/>
                </w:tcPr>
                <w:p w14:paraId="7776593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行业名称</w:t>
                  </w:r>
                </w:p>
              </w:tc>
              <w:tc>
                <w:tcPr>
                  <w:tcW w:w="600" w:type="pct"/>
                  <w:tcBorders>
                    <w:tl2br w:val="nil"/>
                    <w:tr2bl w:val="nil"/>
                  </w:tcBorders>
                  <w:vAlign w:val="center"/>
                </w:tcPr>
                <w:p w14:paraId="774799E8">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定额代码</w:t>
                  </w:r>
                </w:p>
              </w:tc>
              <w:tc>
                <w:tcPr>
                  <w:tcW w:w="727" w:type="pct"/>
                  <w:tcBorders>
                    <w:tl2br w:val="nil"/>
                    <w:tr2bl w:val="nil"/>
                  </w:tcBorders>
                  <w:vAlign w:val="center"/>
                </w:tcPr>
                <w:p w14:paraId="6196766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名称</w:t>
                  </w:r>
                </w:p>
              </w:tc>
              <w:tc>
                <w:tcPr>
                  <w:tcW w:w="643" w:type="pct"/>
                  <w:tcBorders>
                    <w:tl2br w:val="nil"/>
                    <w:tr2bl w:val="nil"/>
                  </w:tcBorders>
                  <w:vAlign w:val="center"/>
                </w:tcPr>
                <w:p w14:paraId="2AA6DCE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定额单位</w:t>
                  </w:r>
                </w:p>
              </w:tc>
              <w:tc>
                <w:tcPr>
                  <w:tcW w:w="490" w:type="pct"/>
                  <w:tcBorders>
                    <w:tl2br w:val="nil"/>
                    <w:tr2bl w:val="nil"/>
                  </w:tcBorders>
                  <w:vAlign w:val="center"/>
                </w:tcPr>
                <w:p w14:paraId="6ED1EFA9">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通用值</w:t>
                  </w:r>
                </w:p>
              </w:tc>
              <w:tc>
                <w:tcPr>
                  <w:tcW w:w="655" w:type="pct"/>
                  <w:tcBorders>
                    <w:tl2br w:val="nil"/>
                    <w:tr2bl w:val="nil"/>
                  </w:tcBorders>
                  <w:vAlign w:val="center"/>
                </w:tcPr>
                <w:p w14:paraId="57745236">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产品产量</w:t>
                  </w:r>
                </w:p>
              </w:tc>
              <w:tc>
                <w:tcPr>
                  <w:tcW w:w="655" w:type="pct"/>
                  <w:tcBorders>
                    <w:tl2br w:val="nil"/>
                    <w:tr2bl w:val="nil"/>
                  </w:tcBorders>
                  <w:vAlign w:val="center"/>
                </w:tcPr>
                <w:p w14:paraId="30072793">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用水量</w:t>
                  </w:r>
                </w:p>
              </w:tc>
            </w:tr>
            <w:tr w14:paraId="5741F9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347DF82F">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w:t>
                  </w:r>
                </w:p>
              </w:tc>
              <w:tc>
                <w:tcPr>
                  <w:tcW w:w="659" w:type="pct"/>
                  <w:tcBorders>
                    <w:tl2br w:val="nil"/>
                    <w:tr2bl w:val="nil"/>
                  </w:tcBorders>
                  <w:vAlign w:val="center"/>
                </w:tcPr>
                <w:p w14:paraId="4E7EA7D8">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石膏、水泥制品及类似制品制造</w:t>
                  </w:r>
                </w:p>
              </w:tc>
              <w:tc>
                <w:tcPr>
                  <w:tcW w:w="600" w:type="pct"/>
                  <w:tcBorders>
                    <w:tl2br w:val="nil"/>
                    <w:tr2bl w:val="nil"/>
                  </w:tcBorders>
                  <w:vAlign w:val="center"/>
                </w:tcPr>
                <w:p w14:paraId="06639F5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C3021</w:t>
                  </w:r>
                </w:p>
              </w:tc>
              <w:tc>
                <w:tcPr>
                  <w:tcW w:w="727" w:type="pct"/>
                  <w:tcBorders>
                    <w:tl2br w:val="nil"/>
                    <w:tr2bl w:val="nil"/>
                  </w:tcBorders>
                  <w:vAlign w:val="center"/>
                </w:tcPr>
                <w:p w14:paraId="4FBA5268">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商品混凝土</w:t>
                  </w:r>
                </w:p>
              </w:tc>
              <w:tc>
                <w:tcPr>
                  <w:tcW w:w="643" w:type="pct"/>
                  <w:tcBorders>
                    <w:tl2br w:val="nil"/>
                    <w:tr2bl w:val="nil"/>
                  </w:tcBorders>
                  <w:vAlign w:val="center"/>
                </w:tcPr>
                <w:p w14:paraId="6425AB9E">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p>
              </w:tc>
              <w:tc>
                <w:tcPr>
                  <w:tcW w:w="490" w:type="pct"/>
                  <w:tcBorders>
                    <w:tl2br w:val="nil"/>
                    <w:tr2bl w:val="nil"/>
                  </w:tcBorders>
                  <w:vAlign w:val="center"/>
                </w:tcPr>
                <w:p w14:paraId="6EEE2715">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0.4</w:t>
                  </w:r>
                </w:p>
              </w:tc>
              <w:tc>
                <w:tcPr>
                  <w:tcW w:w="655" w:type="pct"/>
                  <w:tcBorders>
                    <w:tl2br w:val="nil"/>
                    <w:tr2bl w:val="nil"/>
                  </w:tcBorders>
                  <w:vAlign w:val="center"/>
                </w:tcPr>
                <w:p w14:paraId="38FE5CFD">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混凝土</w:t>
                  </w:r>
                  <w:r>
                    <w:rPr>
                      <w:rFonts w:hint="eastAsia"/>
                      <w:color w:val="000000" w:themeColor="text1"/>
                      <w:szCs w:val="21"/>
                      <w:highlight w:val="none"/>
                      <w:lang w:val="en-US" w:eastAsia="zh-CN"/>
                      <w14:textFill>
                        <w14:solidFill>
                          <w14:schemeClr w14:val="tx1"/>
                        </w14:solidFill>
                      </w14:textFill>
                    </w:rPr>
                    <w:t>444</w:t>
                  </w:r>
                  <w:r>
                    <w:rPr>
                      <w:rFonts w:hint="eastAsia"/>
                      <w:color w:val="000000" w:themeColor="text1"/>
                      <w:szCs w:val="21"/>
                      <w:highlight w:val="none"/>
                      <w14:textFill>
                        <w14:solidFill>
                          <w14:schemeClr w14:val="tx1"/>
                        </w14:solidFill>
                      </w14:textFill>
                    </w:rPr>
                    <w:t>00m</w:t>
                  </w:r>
                  <w:r>
                    <w:rPr>
                      <w:rFonts w:hint="eastAsia"/>
                      <w:color w:val="000000" w:themeColor="text1"/>
                      <w:szCs w:val="21"/>
                      <w:highlight w:val="none"/>
                      <w:vertAlign w:val="superscript"/>
                      <w14:textFill>
                        <w14:solidFill>
                          <w14:schemeClr w14:val="tx1"/>
                        </w14:solidFill>
                      </w14:textFill>
                    </w:rPr>
                    <w:t>3</w:t>
                  </w:r>
                </w:p>
              </w:tc>
              <w:tc>
                <w:tcPr>
                  <w:tcW w:w="655" w:type="pct"/>
                  <w:tcBorders>
                    <w:tl2br w:val="nil"/>
                    <w:tr2bl w:val="nil"/>
                  </w:tcBorders>
                  <w:vAlign w:val="center"/>
                </w:tcPr>
                <w:p w14:paraId="039456F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lang w:val="en-US" w:eastAsia="zh-CN"/>
                      <w14:textFill>
                        <w14:solidFill>
                          <w14:schemeClr w14:val="tx1"/>
                        </w14:solidFill>
                      </w14:textFill>
                    </w:rPr>
                    <w:t>1776</w:t>
                  </w:r>
                  <w:r>
                    <w:rPr>
                      <w:rFonts w:hint="eastAsia"/>
                      <w:color w:val="000000" w:themeColor="text1"/>
                      <w:szCs w:val="21"/>
                      <w:highlight w:val="none"/>
                      <w14:textFill>
                        <w14:solidFill>
                          <w14:schemeClr w14:val="tx1"/>
                        </w14:solidFill>
                      </w14:textFill>
                    </w:rPr>
                    <w:t>0m</w:t>
                  </w:r>
                  <w:r>
                    <w:rPr>
                      <w:rFonts w:hint="eastAsia"/>
                      <w:color w:val="000000" w:themeColor="text1"/>
                      <w:szCs w:val="21"/>
                      <w:highlight w:val="none"/>
                      <w:vertAlign w:val="superscript"/>
                      <w14:textFill>
                        <w14:solidFill>
                          <w14:schemeClr w14:val="tx1"/>
                        </w14:solidFill>
                      </w14:textFill>
                    </w:rPr>
                    <w:t>3</w:t>
                  </w:r>
                </w:p>
              </w:tc>
            </w:tr>
          </w:tbl>
          <w:p w14:paraId="0092048F">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本项目混凝土生产总用水量为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17760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50.74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eastAsia="zh-CN"/>
                <w14:textFill>
                  <w14:solidFill>
                    <w14:schemeClr w14:val="tx1"/>
                  </w14:solidFill>
                </w14:textFill>
              </w:rPr>
              <w:t>。此用水部分进入产品，部分蒸发损耗，不产生生产废水。</w:t>
            </w:r>
          </w:p>
          <w:p w14:paraId="3B1FA9C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（2）搅拌机冲洗用水</w:t>
            </w:r>
          </w:p>
          <w:p w14:paraId="7E4CB5E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32"/>
                <w:szCs w:val="24"/>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搅拌主机为本项目的主要生产设备，一般情况下搅拌主机每天冲洗1次，根据建设单位提供资料，每台搅拌主机每次冲洗水用量为0.5m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/次，项目</w:t>
            </w:r>
            <w:r>
              <w:rPr>
                <w:rFonts w:hint="eastAsia" w:ascii="Times New Roman" w:hAnsi="Times New Roman" w:eastAsia="宋体"/>
                <w:color w:val="000000" w:themeColor="text1"/>
                <w:sz w:val="24"/>
                <w:szCs w:val="24"/>
                <w:highlight w:val="none"/>
                <w:lang w:eastAsia="zh-CN"/>
                <w14:textFill>
                  <w14:solidFill>
                    <w14:schemeClr w14:val="tx1"/>
                  </w14:solidFill>
                </w14:textFill>
              </w:rPr>
              <w:t>两</w:t>
            </w:r>
            <w:r>
              <w:rPr>
                <w:rFonts w:ascii="Times New Roman" w:hAnsi="Times New Roman" w:eastAsia="宋体"/>
                <w:color w:val="000000" w:themeColor="text1"/>
                <w:sz w:val="24"/>
                <w:szCs w:val="24"/>
                <w:highlight w:val="none"/>
                <w14:textFill>
                  <w14:solidFill>
                    <w14:schemeClr w14:val="tx1"/>
                  </w14:solidFill>
                </w14:textFill>
              </w:rPr>
              <w:t>套搅拌主机每天清洗用水量为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则搅拌机冲洗废水量为0.9</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后进入五级沉淀池（有效容积</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），同时添加絮凝沉淀剂（PAM、PAC），上清液回用于厂区抑尘用水。</w:t>
            </w:r>
          </w:p>
          <w:p w14:paraId="6292A51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混凝土罐车</w:t>
            </w:r>
            <w:r>
              <w:rPr>
                <w:rFonts w:hint="eastAsia" w:ascii="Times New Roman" w:hAnsi="Times New Roman" w:eastAsia="宋体"/>
                <w:color w:val="000000" w:themeColor="text1"/>
                <w:sz w:val="24"/>
                <w:szCs w:val="21"/>
                <w:highlight w:val="none"/>
                <w14:textFill>
                  <w14:solidFill>
                    <w14:schemeClr w14:val="tx1"/>
                  </w14:solidFill>
                </w14:textFill>
              </w:rPr>
              <w:t>冲洗用水</w:t>
            </w:r>
          </w:p>
          <w:p w14:paraId="1F2ABD7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本项目共设置1</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0</w:t>
            </w:r>
            <w:r>
              <w:rPr>
                <w:rFonts w:hint="eastAsia" w:ascii="Times New Roman" w:hAnsi="Times New Roman" w:eastAsia="宋体"/>
                <w:color w:val="000000" w:themeColor="text1"/>
                <w:sz w:val="24"/>
                <w:szCs w:val="24"/>
                <w:highlight w:val="none"/>
                <w14:textFill>
                  <w14:solidFill>
                    <w14:schemeClr w14:val="tx1"/>
                  </w14:solidFill>
                </w14:textFill>
              </w:rPr>
              <w:t>辆成品混凝土运输罐车，</w:t>
            </w:r>
            <w:r>
              <w:rPr>
                <w:rFonts w:ascii="Times New Roman" w:hAnsi="Times New Roman" w:eastAsia="宋体"/>
                <w:color w:val="000000" w:themeColor="text1"/>
                <w:sz w:val="24"/>
                <w:szCs w:val="24"/>
                <w:highlight w:val="none"/>
                <w14:textFill>
                  <w14:solidFill>
                    <w14:schemeClr w14:val="tx1"/>
                  </w14:solidFill>
                </w14:textFill>
              </w:rPr>
              <w:t>根据建设单位提供资料，</w:t>
            </w:r>
            <w:r>
              <w:rPr>
                <w:rFonts w:hint="default" w:ascii="Times New Roman" w:hAnsi="Times New Roman" w:eastAsia="宋体" w:cs="Times New Roman"/>
                <w:color w:val="000000" w:themeColor="text1"/>
                <w:sz w:val="24"/>
                <w:szCs w:val="22"/>
                <w:highlight w:val="none"/>
                <w14:textFill>
                  <w14:solidFill>
                    <w14:schemeClr w14:val="tx1"/>
                  </w14:solidFill>
                </w14:textFill>
              </w:rPr>
              <w:t>每</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辆罐车每天</w:t>
            </w:r>
            <w:r>
              <w:rPr>
                <w:rFonts w:hint="default" w:ascii="Times New Roman" w:hAnsi="Times New Roman" w:eastAsia="宋体" w:cs="Times New Roman"/>
                <w:color w:val="000000" w:themeColor="text1"/>
                <w:sz w:val="24"/>
                <w:szCs w:val="22"/>
                <w:highlight w:val="none"/>
                <w14:textFill>
                  <w14:solidFill>
                    <w14:schemeClr w14:val="tx1"/>
                  </w14:solidFill>
                </w14:textFill>
              </w:rPr>
              <w:t>冲洗1次，</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每次冲洗用水量约为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辆，</w:t>
            </w:r>
            <w:r>
              <w:rPr>
                <w:rFonts w:hint="eastAsia" w:ascii="Times New Roman" w:hAnsi="Times New Roman" w:eastAsia="宋体"/>
                <w:color w:val="000000" w:themeColor="text1"/>
                <w:sz w:val="24"/>
                <w:szCs w:val="24"/>
                <w:highlight w:val="none"/>
                <w:lang w:eastAsia="zh-CN"/>
                <w14:textFill>
                  <w14:solidFill>
                    <w14:schemeClr w14:val="tx1"/>
                  </w14:solidFill>
                </w14:textFill>
              </w:rPr>
              <w:t>则项目混凝土运输罐车</w:t>
            </w:r>
            <w:r>
              <w:rPr>
                <w:rFonts w:ascii="Times New Roman" w:hAnsi="Times New Roman" w:eastAsia="宋体"/>
                <w:color w:val="000000" w:themeColor="text1"/>
                <w:sz w:val="24"/>
                <w:szCs w:val="24"/>
                <w:highlight w:val="none"/>
                <w14:textFill>
                  <w14:solidFill>
                    <w14:schemeClr w14:val="tx1"/>
                  </w14:solidFill>
                </w14:textFill>
              </w:rPr>
              <w:t>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则搅拌机冲洗废水量为9</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3150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后进入五级沉淀池（有效容积</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），同时添加絮凝沉淀剂（PAM、PAC），上清液回用于厂区抑尘用水。</w:t>
            </w:r>
          </w:p>
          <w:p w14:paraId="61EBFEA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w:t>
            </w:r>
            <w:r>
              <w:rPr>
                <w:rFonts w:hint="eastAsia" w:ascii="Times New Roman" w:hAnsi="Times New Roman" w:eastAsia="宋体"/>
                <w:color w:val="000000" w:themeColor="text1"/>
                <w:sz w:val="24"/>
                <w:szCs w:val="21"/>
                <w:highlight w:val="none"/>
                <w14:textFill>
                  <w14:solidFill>
                    <w14:schemeClr w14:val="tx1"/>
                  </w14:solidFill>
                </w14:textFill>
              </w:rPr>
              <w:t>）养护</w:t>
            </w:r>
            <w:r>
              <w:rPr>
                <w:rFonts w:hint="eastAsia" w:ascii="Times New Roman" w:hAnsi="Times New Roman" w:eastAsia="宋体"/>
                <w:color w:val="000000" w:themeColor="text1"/>
                <w:sz w:val="24"/>
                <w:szCs w:val="21"/>
                <w:highlight w:val="none"/>
                <w:lang w:eastAsia="zh-CN"/>
                <w14:textFill>
                  <w14:solidFill>
                    <w14:schemeClr w14:val="tx1"/>
                  </w14:solidFill>
                </w14:textFill>
              </w:rPr>
              <w:t>用水</w:t>
            </w:r>
          </w:p>
          <w:p w14:paraId="5F3E04C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32"/>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预制件</w:t>
            </w:r>
            <w:r>
              <w:rPr>
                <w:rFonts w:hint="eastAsia" w:ascii="Times New Roman" w:hAnsi="Times New Roman" w:eastAsia="宋体"/>
                <w:color w:val="000000" w:themeColor="text1"/>
                <w:sz w:val="24"/>
                <w:szCs w:val="21"/>
                <w:highlight w:val="none"/>
                <w:lang w:eastAsia="zh-CN"/>
                <w14:textFill>
                  <w14:solidFill>
                    <w14:schemeClr w14:val="tx1"/>
                  </w14:solidFill>
                </w14:textFill>
              </w:rPr>
              <w:t>除冬季外（约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250d</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养护采取喷雾方式进行洒水养护，一天用水量约为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共</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3750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冬季养护（约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100d</w:t>
            </w:r>
            <w:r>
              <w:rPr>
                <w:rFonts w:hint="eastAsia" w:ascii="Times New Roman" w:hAnsi="Times New Roman" w:eastAsia="宋体"/>
                <w:color w:val="000000" w:themeColor="text1"/>
                <w:sz w:val="24"/>
                <w:szCs w:val="21"/>
                <w:highlight w:val="none"/>
                <w:lang w:eastAsia="zh-CN"/>
                <w14:textFill>
                  <w14:solidFill>
                    <w14:schemeClr w14:val="tx1"/>
                  </w14:solidFill>
                </w14:textFill>
              </w:rPr>
              <w:t>）采用电加热蒸汽发生器为养护工段提供蒸汽，日运行</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10小时，项目蒸养工段蒸汽用量约15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/d，蒸汽发生器自带软水制备系统，软水制备率为75%，消耗新鲜水约20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/d，共2000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。养护用水90%</w:t>
            </w:r>
            <w:r>
              <w:rPr>
                <w:rFonts w:hint="eastAsia" w:ascii="Times New Roman" w:hAnsi="Times New Roman" w:eastAsia="宋体"/>
                <w:color w:val="000000" w:themeColor="text1"/>
                <w:sz w:val="24"/>
                <w:szCs w:val="24"/>
                <w:highlight w:val="none"/>
                <w:lang w:eastAsia="zh-CN"/>
                <w14:textFill>
                  <w14:solidFill>
                    <w14:schemeClr w14:val="tx1"/>
                  </w14:solidFill>
                </w14:textFill>
              </w:rPr>
              <w:t>蒸发损耗，</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10%产生冷凝水，冷凝水产生量为1.5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蒸汽发生器自带软水制备系统浓水产生约为5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设置沉淀池（1</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0</w:t>
            </w:r>
            <w:r>
              <w:rPr>
                <w:rFonts w:hint="eastAsia" w:ascii="Times New Roman" w:hAnsi="Times New Roman" w:eastAsia="宋体"/>
                <w:color w:val="000000" w:themeColor="text1"/>
                <w:sz w:val="24"/>
                <w:szCs w:val="24"/>
                <w:highlight w:val="none"/>
                <w:lang w:eastAsia="zh-CN"/>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sz w:val="24"/>
                <w:szCs w:val="24"/>
                <w:highlight w:val="none"/>
                <w:lang w:eastAsia="zh-CN"/>
                <w14:textFill>
                  <w14:solidFill>
                    <w14:schemeClr w14:val="tx1"/>
                  </w14:solidFill>
                </w14:textFill>
              </w:rPr>
              <w:t>），经沉淀后回用于洒水降尘等。</w:t>
            </w:r>
          </w:p>
          <w:p w14:paraId="2154B34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）运输车辆冲洗用水</w:t>
            </w:r>
          </w:p>
          <w:p w14:paraId="2FA15C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运输车辆包括：原辅料、生活物资及罐车等其他车辆。</w:t>
            </w:r>
          </w:p>
          <w:p w14:paraId="58C7759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①</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成品运输：</w:t>
            </w:r>
            <w:r>
              <w:rPr>
                <w:rFonts w:hint="default" w:ascii="Times New Roman" w:hAnsi="Times New Roman" w:eastAsia="宋体" w:cs="Times New Roman"/>
                <w:color w:val="000000" w:themeColor="text1"/>
                <w:sz w:val="24"/>
                <w:szCs w:val="22"/>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共配备混凝土运输罐车</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0辆</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，混凝土装载量为10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/车，本项目生产商品混凝土</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4440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其中3420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a通过混凝土罐车拉运至施工现场，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混凝土罐车</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15</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加工钢筋结构件2800t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其中118t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加工预制梁约288片</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/d。则本项目单日最多成品运输车次约为18</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3C7D123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②</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原料运输：</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84500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8</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；原料水泥、粉煤灰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年用量共计15200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t计算，</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水泥</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、粉煤灰运输车辆约为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其他钢筋等辅料单日最</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多</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运输车次为2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则本项目单日最多原料运输车次约为12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379040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w:t>
            </w:r>
            <w:r>
              <w:rPr>
                <w:rFonts w:hint="eastAsia" w:ascii="Times New Roman" w:hAnsi="Times New Roman" w:eastAsia="宋体"/>
                <w:color w:val="000000" w:themeColor="text1"/>
                <w:sz w:val="24"/>
                <w:szCs w:val="21"/>
                <w:highlight w:val="none"/>
                <w14:textFill>
                  <w14:solidFill>
                    <w14:schemeClr w14:val="tx1"/>
                  </w14:solidFill>
                </w14:textFill>
              </w:rPr>
              <w:t>对进出车辆轮胎进行喷淋冲洗，避免带泥上路，减少扬尘产生。拌和站设置轮胎清洗机，参照《四川省用水定额》（川府函〔2021〕8号），载重汽车用水量为100L/（辆·次）</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则运输车辆冲洗用水量为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6.0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2100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则冲洗废水量为5.4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1890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运输车辆冲洗废水经隔油沉淀池（6m</w:t>
            </w:r>
            <w:r>
              <w:rPr>
                <w:rFonts w:hint="eastAsia"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4"/>
                <w:highlight w:val="none"/>
                <w14:textFill>
                  <w14:solidFill>
                    <w14:schemeClr w14:val="tx1"/>
                  </w14:solidFill>
                </w14:textFill>
              </w:rPr>
              <w:t>）处理后回用于车辆冲洗，不外排</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5B2993E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6</w:t>
            </w:r>
            <w:r>
              <w:rPr>
                <w:rFonts w:hint="eastAsia" w:ascii="Times New Roman" w:hAnsi="Times New Roman" w:eastAsia="宋体"/>
                <w:color w:val="000000" w:themeColor="text1"/>
                <w:sz w:val="24"/>
                <w:szCs w:val="21"/>
                <w:highlight w:val="none"/>
                <w14:textFill>
                  <w14:solidFill>
                    <w14:schemeClr w14:val="tx1"/>
                  </w14:solidFill>
                </w14:textFill>
              </w:rPr>
              <w:t>）地坪冲洗用水</w:t>
            </w:r>
          </w:p>
          <w:p w14:paraId="61A3946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场站内车辆出入较为频繁，车辆从厂外携带大量的粉尘进入厂内，需定期对道路进行清扫。参照《四川省用水定额》（川府函〔2021〕8号），环境卫生城市道路冲洗用水量为2L/m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·d，冲洗地坪面积约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w:t>
            </w:r>
            <w:r>
              <w:rPr>
                <w:rFonts w:hint="eastAsia" w:ascii="Times New Roman" w:hAnsi="Times New Roman" w:eastAsia="宋体"/>
                <w:color w:val="000000" w:themeColor="text1"/>
                <w:sz w:val="24"/>
                <w:szCs w:val="21"/>
                <w:highlight w:val="none"/>
                <w14:textFill>
                  <w14:solidFill>
                    <w14:schemeClr w14:val="tx1"/>
                  </w14:solidFill>
                </w14:textFill>
              </w:rPr>
              <w:t>000m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，地坪冲洗用水量为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w:t>
            </w:r>
            <w:r>
              <w:rPr>
                <w:rFonts w:hint="eastAsia" w:ascii="Times New Roman" w:hAnsi="Times New Roman" w:eastAsia="宋体"/>
                <w:color w:val="000000" w:themeColor="text1"/>
                <w:sz w:val="24"/>
                <w:szCs w:val="21"/>
                <w:highlight w:val="none"/>
                <w14:textFill>
                  <w14:solidFill>
                    <w14:schemeClr w14:val="tx1"/>
                  </w14:solidFill>
                </w14:textFill>
              </w:rPr>
              <w:t>地坪冲洗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废水量为1.6</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560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后进入五级沉淀池（有效容积</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），同时添加絮凝沉淀剂（PAM、PAC），上清液回用于厂区抑尘用水。</w:t>
            </w:r>
          </w:p>
          <w:p w14:paraId="64507CF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w:t>
            </w:r>
            <w:r>
              <w:rPr>
                <w:rFonts w:hint="eastAsia" w:ascii="Times New Roman" w:hAnsi="Times New Roman" w:eastAsia="宋体"/>
                <w:color w:val="000000" w:themeColor="text1"/>
                <w:sz w:val="24"/>
                <w:szCs w:val="21"/>
                <w:highlight w:val="none"/>
                <w14:textFill>
                  <w14:solidFill>
                    <w14:schemeClr w14:val="tx1"/>
                  </w14:solidFill>
                </w14:textFill>
              </w:rPr>
              <w:t>）降尘用水</w:t>
            </w:r>
          </w:p>
          <w:p w14:paraId="3A56550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搅拌楼、</w:t>
            </w:r>
            <w:r>
              <w:rPr>
                <w:rFonts w:hint="default" w:ascii="Times New Roman" w:hAnsi="Times New Roman" w:eastAsia="宋体" w:cs="Times New Roman"/>
                <w:color w:val="000000" w:themeColor="text1"/>
                <w:sz w:val="24"/>
                <w:szCs w:val="24"/>
                <w:highlight w:val="none"/>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、皮带输送进料口</w:t>
            </w:r>
            <w:r>
              <w:rPr>
                <w:rFonts w:hint="default" w:ascii="Times New Roman" w:hAnsi="Times New Roman" w:eastAsia="宋体" w:cs="Times New Roman"/>
                <w:color w:val="000000" w:themeColor="text1"/>
                <w:sz w:val="24"/>
                <w:szCs w:val="24"/>
                <w:highlight w:val="none"/>
                <w14:textFill>
                  <w14:solidFill>
                    <w14:schemeClr w14:val="tx1"/>
                  </w14:solidFill>
                </w14:textFill>
              </w:rPr>
              <w:t>设置喷雾装置进</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行</w:t>
            </w:r>
            <w:r>
              <w:rPr>
                <w:rFonts w:hint="default" w:ascii="Times New Roman" w:hAnsi="Times New Roman" w:eastAsia="宋体" w:cs="Times New Roman"/>
                <w:color w:val="000000" w:themeColor="text1"/>
                <w:sz w:val="24"/>
                <w:szCs w:val="24"/>
                <w:highlight w:val="none"/>
                <w14:textFill>
                  <w14:solidFill>
                    <w14:schemeClr w14:val="tx1"/>
                  </w14:solidFill>
                </w14:textFill>
              </w:rPr>
              <w:t>除尘，同时厂区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设置除尘雾炮机</w:t>
            </w:r>
            <w:r>
              <w:rPr>
                <w:rFonts w:hint="default" w:ascii="Times New Roman" w:hAnsi="Times New Roman" w:eastAsia="宋体" w:cs="Times New Roman"/>
                <w:color w:val="000000" w:themeColor="text1"/>
                <w:sz w:val="24"/>
                <w:szCs w:val="24"/>
                <w:highlight w:val="none"/>
                <w14:textFill>
                  <w14:solidFill>
                    <w14:schemeClr w14:val="tx1"/>
                  </w14:solidFill>
                </w14:textFill>
              </w:rPr>
              <w:t>进行洒水抑尘，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设置洒水车进行道路抑尘。砂石料仓喷雾装置</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用水量约为0.0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内</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安装</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（共36个）</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每个搅拌楼内安装一个喷雾点（共2个），每个输送带进料口（共2个）处安装一</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每日开启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小时，</w:t>
            </w:r>
            <w:r>
              <w:rPr>
                <w:rFonts w:hint="default" w:ascii="Times New Roman" w:hAnsi="Times New Roman" w:eastAsia="宋体" w:cs="Times New Roman"/>
                <w:color w:val="000000" w:themeColor="text1"/>
                <w:sz w:val="24"/>
                <w:szCs w:val="24"/>
                <w:highlight w:val="none"/>
                <w14:textFill>
                  <w14:solidFill>
                    <w14:schemeClr w14:val="tx1"/>
                  </w14:solidFill>
                </w14:textFill>
              </w:rPr>
              <w:t>则抑尘用水约为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2800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）。厂区内共设置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除尘雾炮机，每台除尘雾炮机用水量约为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h，每日开启2小时，则雾炮机用水量为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2100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）。厂区内配备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辆洒水车，每日进行运输道路洒水抑尘，每辆洒水车用水量约为10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，则道路抑尘用水量为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场地内降尘用水量共计</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8400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，全部蒸发损耗。</w:t>
            </w:r>
          </w:p>
          <w:p w14:paraId="275A488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2、生活污水（含食堂废水）</w:t>
            </w:r>
            <w:r>
              <w:rPr>
                <w:rFonts w:hint="eastAsia"/>
                <w:b/>
                <w:bCs/>
                <w:color w:val="000000" w:themeColor="text1"/>
                <w:sz w:val="24"/>
                <w:szCs w:val="24"/>
                <w:highlight w:val="none"/>
                <w:lang w:eastAsia="zh-CN"/>
                <w14:textFill>
                  <w14:solidFill>
                    <w14:schemeClr w14:val="tx1"/>
                  </w14:solidFill>
                </w14:textFill>
              </w:rPr>
              <w:t>产生量</w:t>
            </w:r>
            <w:r>
              <w:rPr>
                <w:rFonts w:hint="eastAsia"/>
                <w:b/>
                <w:bCs/>
                <w:color w:val="000000" w:themeColor="text1"/>
                <w:sz w:val="24"/>
                <w:szCs w:val="24"/>
                <w:highlight w:val="none"/>
                <w14:textFill>
                  <w14:solidFill>
                    <w14:schemeClr w14:val="tx1"/>
                  </w14:solidFill>
                </w14:textFill>
              </w:rPr>
              <w:t>及处理措施</w:t>
            </w:r>
          </w:p>
          <w:p w14:paraId="4B1810E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项目共有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75</w:t>
            </w:r>
            <w:r>
              <w:rPr>
                <w:rFonts w:hint="default" w:ascii="Times New Roman" w:hAnsi="Times New Roman" w:eastAsia="宋体" w:cs="Times New Roman"/>
                <w:color w:val="000000" w:themeColor="text1"/>
                <w:sz w:val="24"/>
                <w:szCs w:val="24"/>
                <w:highlight w:val="none"/>
                <w14:textFill>
                  <w14:solidFill>
                    <w14:schemeClr w14:val="tx1"/>
                  </w14:solidFill>
                </w14:textFill>
              </w:rPr>
              <w:t>名员工，均在项目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生活区</w:t>
            </w:r>
            <w:r>
              <w:rPr>
                <w:rFonts w:hint="default" w:ascii="Times New Roman" w:hAnsi="Times New Roman" w:eastAsia="宋体" w:cs="Times New Roman"/>
                <w:color w:val="000000" w:themeColor="text1"/>
                <w:sz w:val="24"/>
                <w:szCs w:val="24"/>
                <w:highlight w:val="none"/>
                <w14:textFill>
                  <w14:solidFill>
                    <w14:schemeClr w14:val="tx1"/>
                  </w14:solidFill>
                </w14:textFill>
              </w:rPr>
              <w:t>食宿</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w:t>
            </w:r>
            <w:r>
              <w:rPr>
                <w:rFonts w:hint="default" w:ascii="Times New Roman" w:hAnsi="Times New Roman" w:eastAsia="宋体" w:cs="Times New Roman"/>
                <w:color w:val="000000" w:themeColor="text1"/>
                <w:sz w:val="24"/>
                <w:highlight w:val="none"/>
                <w14:textFill>
                  <w14:solidFill>
                    <w14:schemeClr w14:val="tx1"/>
                  </w14:solidFill>
                </w14:textFill>
              </w:rPr>
              <w:t>《四川省用水定额》（川府函〔2021〕8号）制定的各项用水定额</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员工</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用水定额</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0L/人·d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14:textFill>
                  <w14:solidFill>
                    <w14:schemeClr w14:val="tx1"/>
                  </w14:solidFill>
                </w14:textFill>
              </w:rPr>
              <w:t>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故项目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1575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2.25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787.5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废水产生量按照用水量的0.8计算，则项目生活污水产生量约为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1260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630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F6BED4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630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，经食堂内设置油水分离器</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有效</w:t>
            </w:r>
            <w:r>
              <w:rPr>
                <w:rFonts w:hint="default" w:ascii="Times New Roman" w:hAnsi="Times New Roman" w:eastAsia="宋体" w:cs="Times New Roman"/>
                <w:color w:val="000000" w:themeColor="text1"/>
                <w:sz w:val="24"/>
                <w:szCs w:val="24"/>
                <w:highlight w:val="none"/>
                <w14:textFill>
                  <w14:solidFill>
                    <w14:schemeClr w14:val="tx1"/>
                  </w14:solidFill>
                </w14:textFill>
              </w:rPr>
              <w:t>容积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除油后排入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则生活污水量为5.4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1890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（含经隔油处理餐饮废水）</w:t>
            </w:r>
            <w:r>
              <w:rPr>
                <w:rFonts w:hint="eastAsia" w:ascii="Times New Roman" w:hAnsi="Times New Roman" w:eastAsia="宋体"/>
                <w:color w:val="000000" w:themeColor="text1"/>
                <w:sz w:val="24"/>
                <w:szCs w:val="24"/>
                <w:highlight w:val="none"/>
                <w:lang w:eastAsia="zh-CN"/>
                <w14:textFill>
                  <w14:solidFill>
                    <w14:schemeClr w14:val="tx1"/>
                  </w14:solidFill>
                </w14:textFill>
              </w:rPr>
              <w:t>，全部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有效</w:t>
            </w:r>
            <w:r>
              <w:rPr>
                <w:rFonts w:hint="default" w:ascii="Times New Roman" w:hAnsi="Times New Roman" w:eastAsia="宋体" w:cs="Times New Roman"/>
                <w:color w:val="000000" w:themeColor="text1"/>
                <w:sz w:val="24"/>
                <w:szCs w:val="24"/>
                <w:highlight w:val="none"/>
                <w14:textFill>
                  <w14:solidFill>
                    <w14:schemeClr w14:val="tx1"/>
                  </w14:solidFill>
                </w14:textFill>
              </w:rPr>
              <w:t>容积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0m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由吸污车拉运至</w:t>
            </w:r>
            <w:r>
              <w:rPr>
                <w:rFonts w:hint="default" w:ascii="Times New Roman" w:hAnsi="Times New Roman" w:eastAsia="宋体" w:cs="Times New Roman"/>
                <w:color w:val="000000" w:themeColor="text1"/>
                <w:sz w:val="24"/>
                <w:szCs w:val="24"/>
                <w:highlight w:val="none"/>
                <w14:textFill>
                  <w14:solidFill>
                    <w14:schemeClr w14:val="tx1"/>
                  </w14:solidFill>
                </w14:textFill>
              </w:rPr>
              <w:t>宝梵污水处理厂。</w:t>
            </w:r>
          </w:p>
          <w:p w14:paraId="798D4B1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3、初期雨水及处理措施</w:t>
            </w:r>
          </w:p>
          <w:p w14:paraId="02FE14F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由于原辅材料、成品在运输过程中的跑、冒、滴、漏，对厂区内道路路面和地面的清洁度会造成一定程度的污染，主要为颗粒物，经运输车辆不断反复碾压后变成细微粉尘颗粒物，在晴天，运输车辆行驶过程中容易产生车辆运输扬尘。在雨天，经过雨水地表径流冲洗后，产生的初期雨水含有污泥，不可以直接外排，须经处理后回用。</w:t>
            </w:r>
          </w:p>
          <w:p w14:paraId="47B47E9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遂宁地区未发表设计暴雨强度公式，本次环评参考《南充市城区暴雨强度公式探讨》（彭愈满，四川南充水利电力建筑勘察设计研究院），暴雨强度公式为：</w:t>
            </w:r>
          </w:p>
          <w:p w14:paraId="46C17CC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0" w:firstLineChars="0"/>
              <w:jc w:val="center"/>
              <w:textAlignment w:val="auto"/>
              <w:rPr>
                <w:rFonts w:hint="eastAsia"/>
                <w:color w:val="000000" w:themeColor="text1"/>
                <w:sz w:val="24"/>
                <w:szCs w:val="24"/>
                <w:highlight w:val="none"/>
                <w14:textFill>
                  <w14:solidFill>
                    <w14:schemeClr w14:val="tx1"/>
                  </w14:solidFill>
                </w14:textFill>
              </w:rPr>
            </w:pPr>
            <w:r>
              <w:rPr>
                <w:color w:val="000000" w:themeColor="text1"/>
                <w:kern w:val="0"/>
                <w:sz w:val="24"/>
                <w:szCs w:val="24"/>
                <w:highlight w:val="none"/>
                <w14:textFill>
                  <w14:solidFill>
                    <w14:schemeClr w14:val="tx1"/>
                  </w14:solidFill>
                </w14:textFill>
              </w:rPr>
              <w:drawing>
                <wp:inline distT="0" distB="0" distL="0" distR="0">
                  <wp:extent cx="2284730" cy="560705"/>
                  <wp:effectExtent l="0" t="0" r="1270" b="10795"/>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91852" cy="562418"/>
                          </a:xfrm>
                          <a:prstGeom prst="rect">
                            <a:avLst/>
                          </a:prstGeom>
                          <a:noFill/>
                          <a:ln>
                            <a:noFill/>
                          </a:ln>
                        </pic:spPr>
                      </pic:pic>
                    </a:graphicData>
                  </a:graphic>
                </wp:inline>
              </w:drawing>
            </w:r>
          </w:p>
          <w:p w14:paraId="14FFFCA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式中，q——设计暴雨强度，L/（s·hm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105B51C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t——设计降雨历时，min，按</w:t>
            </w:r>
            <w:r>
              <w:rPr>
                <w:rFonts w:hint="eastAsia"/>
                <w:color w:val="000000" w:themeColor="text1"/>
                <w:sz w:val="24"/>
                <w:szCs w:val="24"/>
                <w:highlight w:val="none"/>
                <w:lang w:val="en-US" w:eastAsia="zh-CN"/>
                <w14:textFill>
                  <w14:solidFill>
                    <w14:schemeClr w14:val="tx1"/>
                  </w14:solidFill>
                </w14:textFill>
              </w:rPr>
              <w:t>60</w:t>
            </w:r>
            <w:r>
              <w:rPr>
                <w:rFonts w:hint="eastAsia"/>
                <w:color w:val="000000" w:themeColor="text1"/>
                <w:sz w:val="24"/>
                <w:szCs w:val="24"/>
                <w:highlight w:val="none"/>
                <w14:textFill>
                  <w14:solidFill>
                    <w14:schemeClr w14:val="tx1"/>
                  </w14:solidFill>
                </w14:textFill>
              </w:rPr>
              <w:t>min计；</w:t>
            </w:r>
          </w:p>
          <w:p w14:paraId="3C62CCA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P——设计重现期，年，按2年计。</w:t>
            </w:r>
          </w:p>
          <w:p w14:paraId="00E5FBB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根据计算可知，区域暴雨强度q为</w:t>
            </w:r>
            <w:r>
              <w:rPr>
                <w:rFonts w:hint="eastAsia"/>
                <w:color w:val="000000" w:themeColor="text1"/>
                <w:sz w:val="24"/>
                <w:szCs w:val="24"/>
                <w:highlight w:val="none"/>
                <w:lang w:val="en-US" w:eastAsia="zh-CN"/>
                <w14:textFill>
                  <w14:solidFill>
                    <w14:schemeClr w14:val="tx1"/>
                  </w14:solidFill>
                </w14:textFill>
              </w:rPr>
              <w:t>158.83</w:t>
            </w:r>
            <w:r>
              <w:rPr>
                <w:rFonts w:hint="eastAsia"/>
                <w:color w:val="000000" w:themeColor="text1"/>
                <w:sz w:val="24"/>
                <w:szCs w:val="24"/>
                <w:highlight w:val="none"/>
                <w14:textFill>
                  <w14:solidFill>
                    <w14:schemeClr w14:val="tx1"/>
                  </w14:solidFill>
                </w14:textFill>
              </w:rPr>
              <w:t>L/（s·hm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拟建项目总占地面积为</w:t>
            </w:r>
            <w:r>
              <w:rPr>
                <w:rFonts w:hint="eastAsia"/>
                <w:color w:val="000000" w:themeColor="text1"/>
                <w:sz w:val="24"/>
                <w:szCs w:val="24"/>
                <w:highlight w:val="none"/>
                <w:lang w:val="en-US" w:eastAsia="zh-CN"/>
                <w14:textFill>
                  <w14:solidFill>
                    <w14:schemeClr w14:val="tx1"/>
                  </w14:solidFill>
                </w14:textFill>
              </w:rPr>
              <w:t>42000m</w:t>
            </w:r>
            <w:r>
              <w:rPr>
                <w:rFonts w:hint="eastAsia"/>
                <w:color w:val="000000" w:themeColor="text1"/>
                <w:sz w:val="24"/>
                <w:szCs w:val="24"/>
                <w:highlight w:val="none"/>
                <w:vertAlign w:val="superscript"/>
                <w:lang w:val="en-US" w:eastAsia="zh-CN"/>
                <w14:textFill>
                  <w14:solidFill>
                    <w14:schemeClr w14:val="tx1"/>
                  </w14:solidFill>
                </w14:textFill>
              </w:rPr>
              <w:t>2</w:t>
            </w:r>
            <w:r>
              <w:rPr>
                <w:rFonts w:hint="eastAsia"/>
                <w:color w:val="000000" w:themeColor="text1"/>
                <w:sz w:val="24"/>
                <w:szCs w:val="24"/>
                <w:highlight w:val="none"/>
                <w:lang w:val="en-US" w:eastAsia="zh-CN"/>
                <w14:textFill>
                  <w14:solidFill>
                    <w14:schemeClr w14:val="tx1"/>
                  </w14:solidFill>
                </w14:textFill>
              </w:rPr>
              <w:t>，汇水面积约4.2hm</w:t>
            </w:r>
            <w:r>
              <w:rPr>
                <w:rFonts w:hint="eastAsia"/>
                <w:color w:val="000000" w:themeColor="text1"/>
                <w:sz w:val="24"/>
                <w:szCs w:val="24"/>
                <w:highlight w:val="none"/>
                <w:vertAlign w:val="superscript"/>
                <w:lang w:val="en-US" w:eastAsia="zh-CN"/>
                <w14:textFill>
                  <w14:solidFill>
                    <w14:schemeClr w14:val="tx1"/>
                  </w14:solidFill>
                </w14:textFill>
              </w:rPr>
              <w:t>2</w:t>
            </w:r>
            <w:r>
              <w:rPr>
                <w:rFonts w:hint="eastAsia"/>
                <w:color w:val="000000" w:themeColor="text1"/>
                <w:sz w:val="24"/>
                <w:szCs w:val="24"/>
                <w:highlight w:val="none"/>
                <w:lang w:val="en-US" w:eastAsia="zh-CN"/>
                <w14:textFill>
                  <w14:solidFill>
                    <w14:schemeClr w14:val="tx1"/>
                  </w14:solidFill>
                </w14:textFill>
              </w:rPr>
              <w:t>，考虑一次暴雨最大初期雨水量，根据《室外排水设计规范》（GB50014－2006）（修订），雨水设计流量应按下列公式计算：</w:t>
            </w:r>
          </w:p>
          <w:p w14:paraId="74A737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highlight w:val="none"/>
                <w14:textFill>
                  <w14:solidFill>
                    <w14:schemeClr w14:val="tx1"/>
                  </w14:solidFill>
                </w14:textFill>
              </w:rPr>
            </w:pPr>
            <w:r>
              <w:rPr>
                <w:color w:val="000000" w:themeColor="text1"/>
                <w:position w:val="-10"/>
                <w:highlight w:val="none"/>
                <w14:textFill>
                  <w14:solidFill>
                    <w14:schemeClr w14:val="tx1"/>
                  </w14:solidFill>
                </w14:textFill>
              </w:rPr>
              <w:object>
                <v:shape id="_x0000_i1031" o:spt="75" type="#_x0000_t75" style="height:16pt;width:65pt;" o:ole="t" filled="f" o:preferrelative="t" stroked="f" coordsize="21600,21600">
                  <v:path/>
                  <v:fill on="f" focussize="0,0"/>
                  <v:stroke on="f"/>
                  <v:imagedata r:id="rId30" o:title=""/>
                  <o:lock v:ext="edit" aspectratio="t"/>
                  <w10:wrap type="none"/>
                  <w10:anchorlock/>
                </v:shape>
                <o:OLEObject Type="Embed" ProgID="Equation.KSEE3" ShapeID="_x0000_i1031" DrawAspect="Content" ObjectID="_1468075731" r:id="rId29">
                  <o:LockedField>false</o:LockedField>
                </o:OLEObject>
              </w:object>
            </w:r>
          </w:p>
          <w:p w14:paraId="429F92A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式中：Q——雨水流量，L/s；</w:t>
            </w:r>
          </w:p>
          <w:p w14:paraId="6163570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q——设计暴雨强度（L/s•hm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1E6BD6F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F——汇水面积，hm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，约</w:t>
            </w:r>
            <w:r>
              <w:rPr>
                <w:rFonts w:hint="eastAsia"/>
                <w:color w:val="000000" w:themeColor="text1"/>
                <w:sz w:val="24"/>
                <w:szCs w:val="24"/>
                <w:highlight w:val="none"/>
                <w:lang w:val="en-US" w:eastAsia="zh-CN"/>
                <w14:textFill>
                  <w14:solidFill>
                    <w14:schemeClr w14:val="tx1"/>
                  </w14:solidFill>
                </w14:textFill>
              </w:rPr>
              <w:t>4.2</w:t>
            </w:r>
            <w:r>
              <w:rPr>
                <w:rFonts w:hint="eastAsia"/>
                <w:color w:val="000000" w:themeColor="text1"/>
                <w:sz w:val="24"/>
                <w:szCs w:val="24"/>
                <w:highlight w:val="none"/>
                <w14:textFill>
                  <w14:solidFill>
                    <w14:schemeClr w14:val="tx1"/>
                  </w14:solidFill>
                </w14:textFill>
              </w:rPr>
              <w:t>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0AEC243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Φ——流量系数，各种屋面、混凝土或沥青路面为0.85~0.95</w:t>
            </w:r>
            <w:r>
              <w:rPr>
                <w:rFonts w:hint="eastAsia"/>
                <w:color w:val="000000" w:themeColor="text1"/>
                <w:sz w:val="24"/>
                <w:szCs w:val="24"/>
                <w:highlight w:val="none"/>
                <w:lang w:eastAsia="zh-CN"/>
                <w14:textFill>
                  <w14:solidFill>
                    <w14:schemeClr w14:val="tx1"/>
                  </w14:solidFill>
                </w14:textFill>
              </w:rPr>
              <w:t>，本项目</w:t>
            </w:r>
            <w:r>
              <w:rPr>
                <w:rFonts w:hint="eastAsia"/>
                <w:color w:val="000000" w:themeColor="text1"/>
                <w:sz w:val="24"/>
                <w:szCs w:val="24"/>
                <w:highlight w:val="none"/>
                <w14:textFill>
                  <w14:solidFill>
                    <w14:schemeClr w14:val="tx1"/>
                  </w14:solidFill>
                </w14:textFill>
              </w:rPr>
              <w:t>取0.9。</w:t>
            </w:r>
          </w:p>
          <w:p w14:paraId="0A5A4E8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根据计算，</w:t>
            </w:r>
            <w:r>
              <w:rPr>
                <w:rFonts w:hint="eastAsia"/>
                <w:color w:val="000000" w:themeColor="text1"/>
                <w:sz w:val="24"/>
                <w:highlight w:val="none"/>
                <w14:textFill>
                  <w14:solidFill>
                    <w14:schemeClr w14:val="tx1"/>
                  </w14:solidFill>
                </w14:textFill>
              </w:rPr>
              <w:t>项目雨水流量为</w:t>
            </w:r>
            <w:r>
              <w:rPr>
                <w:rFonts w:hint="eastAsia"/>
                <w:color w:val="000000" w:themeColor="text1"/>
                <w:sz w:val="24"/>
                <w:highlight w:val="none"/>
                <w:lang w:val="en-US" w:eastAsia="zh-CN"/>
                <w14:textFill>
                  <w14:solidFill>
                    <w14:schemeClr w14:val="tx1"/>
                  </w14:solidFill>
                </w14:textFill>
              </w:rPr>
              <w:t>600.3774</w:t>
            </w:r>
            <w:r>
              <w:rPr>
                <w:rFonts w:hint="eastAsia"/>
                <w:color w:val="000000" w:themeColor="text1"/>
                <w:sz w:val="24"/>
                <w:highlight w:val="none"/>
                <w14:textFill>
                  <w14:solidFill>
                    <w14:schemeClr w14:val="tx1"/>
                  </w14:solidFill>
                </w14:textFill>
              </w:rPr>
              <w:t>L/s，本项目初期降雨收集时间取</w:t>
            </w:r>
            <w:r>
              <w:rPr>
                <w:rFonts w:hint="eastAsia"/>
                <w:color w:val="000000" w:themeColor="text1"/>
                <w:sz w:val="24"/>
                <w:highlight w:val="none"/>
                <w:lang w:val="en-US" w:eastAsia="zh-CN"/>
                <w14:textFill>
                  <w14:solidFill>
                    <w14:schemeClr w14:val="tx1"/>
                  </w14:solidFill>
                </w14:textFill>
              </w:rPr>
              <w:t>5</w:t>
            </w:r>
            <w:r>
              <w:rPr>
                <w:rFonts w:hint="eastAsia"/>
                <w:color w:val="000000" w:themeColor="text1"/>
                <w:sz w:val="24"/>
                <w:highlight w:val="none"/>
                <w14:textFill>
                  <w14:solidFill>
                    <w14:schemeClr w14:val="tx1"/>
                  </w14:solidFill>
                </w14:textFill>
              </w:rPr>
              <w:t>分钟，收集的初期雨水量为</w:t>
            </w:r>
            <w:r>
              <w:rPr>
                <w:rFonts w:hint="eastAsia"/>
                <w:color w:val="000000" w:themeColor="text1"/>
                <w:sz w:val="24"/>
                <w:highlight w:val="none"/>
                <w:lang w:val="en-US" w:eastAsia="zh-CN"/>
                <w14:textFill>
                  <w14:solidFill>
                    <w14:schemeClr w14:val="tx1"/>
                  </w14:solidFill>
                </w14:textFill>
              </w:rPr>
              <w:t>180.11</w:t>
            </w:r>
            <w:r>
              <w:rPr>
                <w:rFonts w:hint="eastAsia"/>
                <w:color w:val="000000" w:themeColor="text1"/>
                <w:sz w:val="24"/>
                <w:highlight w:val="none"/>
                <w14:textFill>
                  <w14:solidFill>
                    <w14:schemeClr w14:val="tx1"/>
                  </w14:solidFill>
                </w14:textFill>
              </w:rPr>
              <w:t>m</w:t>
            </w:r>
            <w:r>
              <w:rPr>
                <w:rFonts w:hint="eastAsia"/>
                <w:color w:val="000000" w:themeColor="text1"/>
                <w:sz w:val="24"/>
                <w:highlight w:val="none"/>
                <w:vertAlign w:val="superscript"/>
                <w14:textFill>
                  <w14:solidFill>
                    <w14:schemeClr w14:val="tx1"/>
                  </w14:solidFill>
                </w14:textFill>
              </w:rPr>
              <w:t>3</w:t>
            </w:r>
            <w:r>
              <w:rPr>
                <w:rFonts w:hint="eastAsia"/>
                <w:color w:val="000000" w:themeColor="text1"/>
                <w:sz w:val="24"/>
                <w:highlight w:val="none"/>
                <w14:textFill>
                  <w14:solidFill>
                    <w14:schemeClr w14:val="tx1"/>
                  </w14:solidFill>
                </w14:textFill>
              </w:rPr>
              <w:t>/次</w:t>
            </w:r>
            <w:r>
              <w:rPr>
                <w:rFonts w:hint="eastAsia"/>
                <w:color w:val="000000" w:themeColor="text1"/>
                <w:sz w:val="24"/>
                <w:highlight w:val="none"/>
                <w:lang w:eastAsia="zh-CN"/>
                <w14:textFill>
                  <w14:solidFill>
                    <w14:schemeClr w14:val="tx1"/>
                  </w14:solidFill>
                </w14:textFill>
              </w:rPr>
              <w:t>。</w:t>
            </w:r>
          </w:p>
          <w:p w14:paraId="69F0AE8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治理措施：环评要求本项目在区四周修建截排水沟，在地势低洼处修建</w:t>
            </w:r>
            <w:r>
              <w:rPr>
                <w:rFonts w:hint="eastAsia"/>
                <w:color w:val="000000" w:themeColor="text1"/>
                <w:sz w:val="24"/>
                <w:highlight w:val="none"/>
                <w:lang w:eastAsia="zh-CN"/>
                <w14:textFill>
                  <w14:solidFill>
                    <w14:schemeClr w14:val="tx1"/>
                  </w14:solidFill>
                </w14:textFill>
              </w:rPr>
              <w:t>雨水收集池（</w:t>
            </w:r>
            <w:r>
              <w:rPr>
                <w:rFonts w:hint="eastAsia"/>
                <w:color w:val="000000" w:themeColor="text1"/>
                <w:sz w:val="24"/>
                <w:szCs w:val="24"/>
                <w:highlight w:val="none"/>
                <w14:textFill>
                  <w14:solidFill>
                    <w14:schemeClr w14:val="tx1"/>
                  </w14:solidFill>
                </w14:textFill>
              </w:rPr>
              <w:t>容积</w:t>
            </w:r>
            <w:r>
              <w:rPr>
                <w:rFonts w:hint="eastAsia"/>
                <w:color w:val="000000" w:themeColor="text1"/>
                <w:sz w:val="24"/>
                <w:szCs w:val="24"/>
                <w:highlight w:val="none"/>
                <w:lang w:val="en-US" w:eastAsia="zh-CN"/>
                <w14:textFill>
                  <w14:solidFill>
                    <w14:schemeClr w14:val="tx1"/>
                  </w14:solidFill>
                </w14:textFill>
              </w:rPr>
              <w:t>200</w:t>
            </w:r>
            <w:r>
              <w:rPr>
                <w:rFonts w:hint="eastAsia"/>
                <w:color w:val="000000" w:themeColor="text1"/>
                <w:sz w:val="24"/>
                <w:szCs w:val="24"/>
                <w:highlight w:val="none"/>
                <w14:textFill>
                  <w14:solidFill>
                    <w14:schemeClr w14:val="tx1"/>
                  </w14:solidFill>
                </w14:textFill>
              </w:rPr>
              <w:t>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highlight w:val="none"/>
                <w:lang w:eastAsia="zh-CN"/>
                <w14:textFill>
                  <w14:solidFill>
                    <w14:schemeClr w14:val="tx1"/>
                  </w14:solidFill>
                </w14:textFill>
              </w:rPr>
              <w:t>）</w:t>
            </w:r>
            <w:r>
              <w:rPr>
                <w:rFonts w:hint="eastAsia"/>
                <w:color w:val="000000" w:themeColor="text1"/>
                <w:sz w:val="24"/>
                <w:highlight w:val="none"/>
                <w14:textFill>
                  <w14:solidFill>
                    <w14:schemeClr w14:val="tx1"/>
                  </w14:solidFill>
                </w14:textFill>
              </w:rPr>
              <w:t>，排水沟连接到</w:t>
            </w:r>
            <w:r>
              <w:rPr>
                <w:rFonts w:hint="eastAsia"/>
                <w:color w:val="000000" w:themeColor="text1"/>
                <w:sz w:val="24"/>
                <w:highlight w:val="none"/>
                <w:lang w:eastAsia="zh-CN"/>
                <w14:textFill>
                  <w14:solidFill>
                    <w14:schemeClr w14:val="tx1"/>
                  </w14:solidFill>
                </w14:textFill>
              </w:rPr>
              <w:t>雨水收集池</w:t>
            </w:r>
            <w:r>
              <w:rPr>
                <w:rFonts w:hint="eastAsia"/>
                <w:color w:val="000000" w:themeColor="text1"/>
                <w:sz w:val="24"/>
                <w:highlight w:val="none"/>
                <w14:textFill>
                  <w14:solidFill>
                    <w14:schemeClr w14:val="tx1"/>
                  </w14:solidFill>
                </w14:textFill>
              </w:rPr>
              <w:t>，对初期雨水进行沉淀后回用于生产。</w:t>
            </w:r>
            <w:r>
              <w:rPr>
                <w:rFonts w:hint="eastAsia"/>
                <w:color w:val="000000" w:themeColor="text1"/>
                <w:sz w:val="24"/>
                <w:highlight w:val="none"/>
                <w:lang w:eastAsia="zh-CN"/>
                <w14:textFill>
                  <w14:solidFill>
                    <w14:schemeClr w14:val="tx1"/>
                  </w14:solidFill>
                </w14:textFill>
              </w:rPr>
              <w:t>在项目雨水排口前设切换井，雨水排口切换井设两个出口，一个出口与雨水收集池相连，一个出口与厂区外雨水沟相通。当降雨时，关闭阀门，初期雨水经雨水沟收集，进入项目雨水收集池。一段时间（一般</w:t>
            </w:r>
            <w:r>
              <w:rPr>
                <w:rFonts w:hint="eastAsia"/>
                <w:color w:val="000000" w:themeColor="text1"/>
                <w:sz w:val="24"/>
                <w:highlight w:val="none"/>
                <w:lang w:val="en-US" w:eastAsia="zh-CN"/>
                <w14:textFill>
                  <w14:solidFill>
                    <w14:schemeClr w14:val="tx1"/>
                  </w14:solidFill>
                </w14:textFill>
              </w:rPr>
              <w:t>15</w:t>
            </w:r>
            <w:r>
              <w:rPr>
                <w:rFonts w:hint="eastAsia"/>
                <w:color w:val="000000" w:themeColor="text1"/>
                <w:sz w:val="24"/>
                <w:highlight w:val="none"/>
                <w:lang w:eastAsia="zh-CN"/>
                <w14:textFill>
                  <w14:solidFill>
                    <w14:schemeClr w14:val="tx1"/>
                  </w14:solidFill>
                </w14:textFill>
              </w:rPr>
              <w:t>min）后手动切换阀门，后期雨水由雨水沟排出项目厂外。</w:t>
            </w:r>
          </w:p>
          <w:p w14:paraId="6E9985D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4、废水处理措施可行性分析</w:t>
            </w:r>
          </w:p>
          <w:p w14:paraId="4996CA8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（1）</w:t>
            </w:r>
            <w:r>
              <w:rPr>
                <w:rFonts w:hint="eastAsia"/>
                <w:color w:val="000000" w:themeColor="text1"/>
                <w:sz w:val="24"/>
                <w:szCs w:val="24"/>
                <w:highlight w:val="none"/>
                <w:lang w:eastAsia="zh-CN"/>
                <w14:textFill>
                  <w14:solidFill>
                    <w14:schemeClr w14:val="tx1"/>
                  </w14:solidFill>
                </w14:textFill>
              </w:rPr>
              <w:t>生活污水处理措施可行性分析</w:t>
            </w:r>
          </w:p>
          <w:p w14:paraId="3E32FFF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default" w:ascii="Times New Roman" w:hAnsi="Times New Roman" w:cs="Times New Roman"/>
                <w:bCs/>
                <w:color w:val="000000" w:themeColor="text1"/>
                <w:sz w:val="24"/>
                <w:szCs w:val="21"/>
                <w:highlight w:val="none"/>
                <w14:textFill>
                  <w14:solidFill>
                    <w14:schemeClr w14:val="tx1"/>
                  </w14:solidFill>
                </w14:textFill>
              </w:rPr>
              <w:t>本项目运营期</w:t>
            </w:r>
            <w:r>
              <w:rPr>
                <w:rFonts w:hint="default" w:ascii="Times New Roman" w:hAnsi="Times New Roman" w:cs="Times New Roman"/>
                <w:bCs/>
                <w:color w:val="000000" w:themeColor="text1"/>
                <w:sz w:val="24"/>
                <w:szCs w:val="21"/>
                <w:highlight w:val="none"/>
                <w:lang w:eastAsia="zh-CN"/>
                <w14:textFill>
                  <w14:solidFill>
                    <w14:schemeClr w14:val="tx1"/>
                  </w14:solidFill>
                </w14:textFill>
              </w:rPr>
              <w:t>设置</w:t>
            </w:r>
            <w:r>
              <w:rPr>
                <w:rFonts w:hint="default" w:ascii="Times New Roman" w:hAnsi="Times New Roman" w:cs="Times New Roman"/>
                <w:bCs/>
                <w:color w:val="000000" w:themeColor="text1"/>
                <w:sz w:val="24"/>
                <w:szCs w:val="21"/>
                <w:highlight w:val="none"/>
                <w14:textFill>
                  <w14:solidFill>
                    <w14:schemeClr w14:val="tx1"/>
                  </w14:solidFill>
                </w14:textFill>
              </w:rPr>
              <w:t>食堂为员工供餐，本项目餐饮废水产生量</w:t>
            </w:r>
            <w:r>
              <w:rPr>
                <w:rFonts w:hint="eastAsia" w:cs="Times New Roman"/>
                <w:bCs/>
                <w:color w:val="000000" w:themeColor="text1"/>
                <w:sz w:val="24"/>
                <w:szCs w:val="21"/>
                <w:highlight w:val="none"/>
                <w:lang w:val="en-US" w:eastAsia="zh-CN"/>
                <w14:textFill>
                  <w14:solidFill>
                    <w14:schemeClr w14:val="tx1"/>
                  </w14:solidFill>
                </w14:textFill>
              </w:rPr>
              <w:t>1.8</w:t>
            </w:r>
            <w:r>
              <w:rPr>
                <w:rFonts w:hint="default" w:ascii="Times New Roman" w:hAnsi="Times New Roman" w:cs="Times New Roman"/>
                <w:color w:val="000000" w:themeColor="text1"/>
                <w:sz w:val="24"/>
                <w:szCs w:val="21"/>
                <w:highlight w:val="none"/>
                <w14:textFill>
                  <w14:solidFill>
                    <w14:schemeClr w14:val="tx1"/>
                  </w14:solidFill>
                </w14:textFill>
              </w:rPr>
              <w:t>m</w:t>
            </w:r>
            <w:r>
              <w:rPr>
                <w:rFonts w:hint="default" w:ascii="Times New Roman" w:hAnsi="Times New Roman" w:cs="Times New Roman"/>
                <w:color w:val="000000" w:themeColor="text1"/>
                <w:sz w:val="24"/>
                <w:szCs w:val="21"/>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1"/>
                <w:highlight w:val="none"/>
                <w14:textFill>
                  <w14:solidFill>
                    <w14:schemeClr w14:val="tx1"/>
                  </w14:solidFill>
                </w14:textFill>
              </w:rPr>
              <w:t>/d，</w:t>
            </w:r>
            <w:r>
              <w:rPr>
                <w:rFonts w:hint="eastAsia" w:cs="Times New Roman"/>
                <w:color w:val="000000" w:themeColor="text1"/>
                <w:sz w:val="24"/>
                <w:szCs w:val="21"/>
                <w:highlight w:val="none"/>
                <w:lang w:val="en-US" w:eastAsia="zh-CN"/>
                <w14:textFill>
                  <w14:solidFill>
                    <w14:schemeClr w14:val="tx1"/>
                  </w14:solidFill>
                </w14:textFill>
              </w:rPr>
              <w:t>0.35</w:t>
            </w:r>
            <w:r>
              <w:rPr>
                <w:rFonts w:hint="default" w:ascii="Times New Roman" w:hAnsi="Times New Roman" w:cs="Times New Roman"/>
                <w:color w:val="000000" w:themeColor="text1"/>
                <w:sz w:val="24"/>
                <w:szCs w:val="21"/>
                <w:highlight w:val="none"/>
                <w14:textFill>
                  <w14:solidFill>
                    <w14:schemeClr w14:val="tx1"/>
                  </w14:solidFill>
                </w14:textFill>
              </w:rPr>
              <w:t>m</w:t>
            </w:r>
            <w:r>
              <w:rPr>
                <w:rFonts w:hint="default" w:ascii="Times New Roman" w:hAnsi="Times New Roman" w:cs="Times New Roman"/>
                <w:color w:val="000000" w:themeColor="text1"/>
                <w:sz w:val="24"/>
                <w:szCs w:val="21"/>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1"/>
                <w:highlight w:val="none"/>
                <w14:textFill>
                  <w14:solidFill>
                    <w14:schemeClr w14:val="tx1"/>
                  </w14:solidFill>
                </w14:textFill>
              </w:rPr>
              <w:t>/h（烹饪时间约5h/d），污水在隔油设施中停留时间应不小于1h，</w:t>
            </w:r>
            <w:r>
              <w:rPr>
                <w:rFonts w:hint="default" w:ascii="Times New Roman" w:hAnsi="Times New Roman" w:cs="Times New Roman"/>
                <w:color w:val="000000" w:themeColor="text1"/>
                <w:sz w:val="24"/>
                <w:highlight w:val="none"/>
                <w14:textFill>
                  <w14:solidFill>
                    <w14:schemeClr w14:val="tx1"/>
                  </w14:solidFill>
                </w14:textFill>
              </w:rPr>
              <w:t>故本项目</w:t>
            </w:r>
            <w:r>
              <w:rPr>
                <w:rFonts w:hint="default" w:ascii="Times New Roman" w:hAnsi="Times New Roman" w:cs="Times New Roman"/>
                <w:color w:val="000000" w:themeColor="text1"/>
                <w:sz w:val="24"/>
                <w:highlight w:val="none"/>
                <w:lang w:eastAsia="zh-CN"/>
                <w14:textFill>
                  <w14:solidFill>
                    <w14:schemeClr w14:val="tx1"/>
                  </w14:solidFill>
                </w14:textFill>
              </w:rPr>
              <w:t>餐饮废水</w:t>
            </w:r>
            <w:r>
              <w:rPr>
                <w:rFonts w:hint="default" w:ascii="Times New Roman" w:hAnsi="Times New Roman" w:cs="Times New Roman"/>
                <w:color w:val="000000" w:themeColor="text1"/>
                <w:sz w:val="24"/>
                <w:highlight w:val="none"/>
                <w14:textFill>
                  <w14:solidFill>
                    <w14:schemeClr w14:val="tx1"/>
                  </w14:solidFill>
                </w14:textFill>
              </w:rPr>
              <w:t>应由一个容积不小于</w:t>
            </w:r>
            <w:r>
              <w:rPr>
                <w:rFonts w:hint="default" w:ascii="Times New Roman" w:hAnsi="Times New Roman" w:cs="Times New Roman"/>
                <w:color w:val="000000" w:themeColor="text1"/>
                <w:sz w:val="24"/>
                <w:highlight w:val="none"/>
                <w:lang w:val="en-US" w:eastAsia="zh-CN"/>
                <w14:textFill>
                  <w14:solidFill>
                    <w14:schemeClr w14:val="tx1"/>
                  </w14:solidFill>
                </w14:textFill>
              </w:rPr>
              <w:t>0</w:t>
            </w:r>
            <w:r>
              <w:rPr>
                <w:rFonts w:hint="eastAsia" w:cs="Times New Roman"/>
                <w:color w:val="000000" w:themeColor="text1"/>
                <w:sz w:val="24"/>
                <w:highlight w:val="none"/>
                <w:lang w:val="en-US" w:eastAsia="zh-CN"/>
                <w14:textFill>
                  <w14:solidFill>
                    <w14:schemeClr w14:val="tx1"/>
                  </w14:solidFill>
                </w14:textFill>
              </w:rPr>
              <w:t>0.35</w:t>
            </w:r>
            <w:r>
              <w:rPr>
                <w:rFonts w:hint="default" w:ascii="Times New Roman" w:hAnsi="Times New Roman" w:cs="Times New Roman"/>
                <w:color w:val="000000" w:themeColor="text1"/>
                <w:sz w:val="24"/>
                <w:highlight w:val="none"/>
                <w14:textFill>
                  <w14:solidFill>
                    <w14:schemeClr w14:val="tx1"/>
                  </w14:solidFill>
                </w14:textFill>
              </w:rPr>
              <w:t>m</w:t>
            </w:r>
            <w:r>
              <w:rPr>
                <w:rFonts w:hint="default" w:ascii="Times New Roman" w:hAnsi="Times New Roman" w:cs="Times New Roman"/>
                <w:color w:val="000000" w:themeColor="text1"/>
                <w:sz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的</w:t>
            </w:r>
            <w:r>
              <w:rPr>
                <w:rFonts w:hint="default" w:ascii="Times New Roman" w:hAnsi="Times New Roman" w:cs="Times New Roman"/>
                <w:color w:val="000000" w:themeColor="text1"/>
                <w:sz w:val="24"/>
                <w:highlight w:val="none"/>
                <w:lang w:eastAsia="zh-CN"/>
                <w14:textFill>
                  <w14:solidFill>
                    <w14:schemeClr w14:val="tx1"/>
                  </w14:solidFill>
                </w14:textFill>
              </w:rPr>
              <w:t>油水分离器</w:t>
            </w:r>
            <w:r>
              <w:rPr>
                <w:rFonts w:hint="default" w:ascii="Times New Roman" w:hAnsi="Times New Roman" w:cs="Times New Roman"/>
                <w:color w:val="000000" w:themeColor="text1"/>
                <w:sz w:val="24"/>
                <w:highlight w:val="none"/>
                <w14:textFill>
                  <w14:solidFill>
                    <w14:schemeClr w14:val="tx1"/>
                  </w14:solidFill>
                </w14:textFill>
              </w:rPr>
              <w:t>收集治理。</w:t>
            </w:r>
            <w:r>
              <w:rPr>
                <w:rFonts w:hint="default" w:ascii="Times New Roman" w:hAnsi="Times New Roman" w:cs="Times New Roman"/>
                <w:bCs/>
                <w:color w:val="000000" w:themeColor="text1"/>
                <w:sz w:val="24"/>
                <w:highlight w:val="none"/>
                <w:lang w:eastAsia="zh-CN"/>
                <w14:textFill>
                  <w14:solidFill>
                    <w14:schemeClr w14:val="tx1"/>
                  </w14:solidFill>
                </w14:textFill>
              </w:rPr>
              <w:t>本项目拟于食堂清洗水池下方安装</w:t>
            </w:r>
            <w:r>
              <w:rPr>
                <w:rFonts w:hint="default" w:ascii="Times New Roman" w:hAnsi="Times New Roman" w:cs="Times New Roman"/>
                <w:bCs/>
                <w:color w:val="000000" w:themeColor="text1"/>
                <w:sz w:val="24"/>
                <w:highlight w:val="none"/>
                <w:u w:val="single"/>
                <w:lang w:eastAsia="zh-CN"/>
                <w14:textFill>
                  <w14:solidFill>
                    <w14:schemeClr w14:val="tx1"/>
                  </w14:solidFill>
                </w14:textFill>
              </w:rPr>
              <w:t>油水分离器</w:t>
            </w:r>
            <w:r>
              <w:rPr>
                <w:rFonts w:hint="default" w:ascii="Times New Roman" w:hAnsi="Times New Roman" w:cs="Times New Roman"/>
                <w:i w:val="0"/>
                <w:iCs w:val="0"/>
                <w:color w:val="000000" w:themeColor="text1"/>
                <w:sz w:val="24"/>
                <w:highlight w:val="none"/>
                <w:u w:val="single"/>
                <w:lang w:val="en-US" w:eastAsia="zh-CN"/>
                <w14:textFill>
                  <w14:solidFill>
                    <w14:schemeClr w14:val="tx1"/>
                  </w14:solidFill>
                </w14:textFill>
              </w:rPr>
              <w:t>1</w:t>
            </w:r>
            <w:r>
              <w:rPr>
                <w:rFonts w:hint="default" w:ascii="Times New Roman" w:hAnsi="Times New Roman" w:cs="Times New Roman"/>
                <w:i w:val="0"/>
                <w:iCs w:val="0"/>
                <w:color w:val="000000" w:themeColor="text1"/>
                <w:sz w:val="24"/>
                <w:highlight w:val="none"/>
                <w:u w:val="single"/>
                <w14:textFill>
                  <w14:solidFill>
                    <w14:schemeClr w14:val="tx1"/>
                  </w14:solidFill>
                </w14:textFill>
              </w:rPr>
              <w:t>个，</w:t>
            </w:r>
            <w:r>
              <w:rPr>
                <w:rFonts w:hint="default" w:ascii="Times New Roman" w:hAnsi="Times New Roman" w:cs="Times New Roman"/>
                <w:i w:val="0"/>
                <w:iCs w:val="0"/>
                <w:color w:val="000000" w:themeColor="text1"/>
                <w:sz w:val="24"/>
                <w:highlight w:val="none"/>
                <w:u w:val="single"/>
                <w:lang w:eastAsia="zh-CN"/>
                <w14:textFill>
                  <w14:solidFill>
                    <w14:schemeClr w14:val="tx1"/>
                  </w14:solidFill>
                </w14:textFill>
              </w:rPr>
              <w:t>有效</w:t>
            </w:r>
            <w:r>
              <w:rPr>
                <w:rFonts w:hint="default" w:ascii="Times New Roman" w:hAnsi="Times New Roman" w:cs="Times New Roman"/>
                <w:i w:val="0"/>
                <w:iCs w:val="0"/>
                <w:color w:val="000000" w:themeColor="text1"/>
                <w:sz w:val="24"/>
                <w:highlight w:val="none"/>
                <w:u w:val="single"/>
                <w14:textFill>
                  <w14:solidFill>
                    <w14:schemeClr w14:val="tx1"/>
                  </w14:solidFill>
                </w14:textFill>
              </w:rPr>
              <w:t>容积</w:t>
            </w:r>
            <w:r>
              <w:rPr>
                <w:rFonts w:hint="default" w:ascii="Times New Roman" w:hAnsi="Times New Roman" w:cs="Times New Roman"/>
                <w:i w:val="0"/>
                <w:iCs w:val="0"/>
                <w:color w:val="000000" w:themeColor="text1"/>
                <w:sz w:val="24"/>
                <w:highlight w:val="none"/>
                <w:u w:val="single"/>
                <w:lang w:val="en-US" w:eastAsia="zh-CN"/>
                <w14:textFill>
                  <w14:solidFill>
                    <w14:schemeClr w14:val="tx1"/>
                  </w14:solidFill>
                </w14:textFill>
              </w:rPr>
              <w:t>0.5</w:t>
            </w:r>
            <w:r>
              <w:rPr>
                <w:rFonts w:hint="default" w:ascii="Times New Roman" w:hAnsi="Times New Roman" w:cs="Times New Roman"/>
                <w:i w:val="0"/>
                <w:iCs w:val="0"/>
                <w:color w:val="000000" w:themeColor="text1"/>
                <w:sz w:val="24"/>
                <w:highlight w:val="none"/>
                <w:u w:val="single"/>
                <w14:textFill>
                  <w14:solidFill>
                    <w14:schemeClr w14:val="tx1"/>
                  </w14:solidFill>
                </w14:textFill>
              </w:rPr>
              <w:t>m</w:t>
            </w:r>
            <w:r>
              <w:rPr>
                <w:rFonts w:hint="default" w:ascii="Times New Roman" w:hAnsi="Times New Roman" w:cs="Times New Roman"/>
                <w:i w:val="0"/>
                <w:iCs w:val="0"/>
                <w:color w:val="000000" w:themeColor="text1"/>
                <w:sz w:val="24"/>
                <w:highlight w:val="none"/>
                <w:u w:val="single"/>
                <w:vertAlign w:val="superscript"/>
                <w14:textFill>
                  <w14:solidFill>
                    <w14:schemeClr w14:val="tx1"/>
                  </w14:solidFill>
                </w14:textFill>
              </w:rPr>
              <w:t>3</w:t>
            </w:r>
            <w:r>
              <w:rPr>
                <w:rFonts w:hint="default" w:ascii="Times New Roman" w:hAnsi="Times New Roman" w:cs="Times New Roman"/>
                <w:i w:val="0"/>
                <w:iCs w:val="0"/>
                <w:color w:val="000000" w:themeColor="text1"/>
                <w:sz w:val="24"/>
                <w:highlight w:val="none"/>
                <w:u w:val="single"/>
                <w:vertAlign w:val="baseline"/>
                <w:lang w:eastAsia="zh-CN"/>
                <w14:textFill>
                  <w14:solidFill>
                    <w14:schemeClr w14:val="tx1"/>
                  </w14:solidFill>
                </w14:textFill>
              </w:rPr>
              <w:t>，</w:t>
            </w:r>
            <w:r>
              <w:rPr>
                <w:rFonts w:hint="default" w:ascii="Times New Roman" w:hAnsi="Times New Roman" w:cs="Times New Roman"/>
                <w:bCs/>
                <w:i w:val="0"/>
                <w:iCs w:val="0"/>
                <w:color w:val="000000" w:themeColor="text1"/>
                <w:sz w:val="24"/>
                <w:highlight w:val="none"/>
                <w:u w:val="single"/>
                <w14:textFill>
                  <w14:solidFill>
                    <w14:schemeClr w14:val="tx1"/>
                  </w14:solidFill>
                </w14:textFill>
              </w:rPr>
              <w:t>处理能力</w:t>
            </w:r>
            <w:r>
              <w:rPr>
                <w:rFonts w:hint="default" w:ascii="Times New Roman" w:hAnsi="Times New Roman" w:cs="Times New Roman"/>
                <w:bCs/>
                <w:i w:val="0"/>
                <w:iCs w:val="0"/>
                <w:color w:val="000000" w:themeColor="text1"/>
                <w:sz w:val="24"/>
                <w:highlight w:val="none"/>
                <w:u w:val="single"/>
                <w:lang w:eastAsia="zh-CN"/>
                <w14:textFill>
                  <w14:solidFill>
                    <w14:schemeClr w14:val="tx1"/>
                  </w14:solidFill>
                </w14:textFill>
              </w:rPr>
              <w:t>为</w:t>
            </w:r>
            <w:r>
              <w:rPr>
                <w:rFonts w:hint="default" w:ascii="Times New Roman" w:hAnsi="Times New Roman" w:cs="Times New Roman"/>
                <w:bCs/>
                <w:i w:val="0"/>
                <w:iCs w:val="0"/>
                <w:color w:val="000000" w:themeColor="text1"/>
                <w:sz w:val="24"/>
                <w:highlight w:val="none"/>
                <w:u w:val="single"/>
                <w:lang w:val="en-US" w:eastAsia="zh-CN"/>
                <w14:textFill>
                  <w14:solidFill>
                    <w14:schemeClr w14:val="tx1"/>
                  </w14:solidFill>
                </w14:textFill>
              </w:rPr>
              <w:t>0.5</w:t>
            </w:r>
            <w:r>
              <w:rPr>
                <w:rFonts w:hint="default" w:ascii="Times New Roman" w:hAnsi="Times New Roman" w:cs="Times New Roman"/>
                <w:bCs/>
                <w:i w:val="0"/>
                <w:iCs w:val="0"/>
                <w:color w:val="000000" w:themeColor="text1"/>
                <w:sz w:val="24"/>
                <w:highlight w:val="none"/>
                <w:u w:val="single"/>
                <w14:textFill>
                  <w14:solidFill>
                    <w14:schemeClr w14:val="tx1"/>
                  </w14:solidFill>
                </w14:textFill>
              </w:rPr>
              <w:t>m</w:t>
            </w:r>
            <w:r>
              <w:rPr>
                <w:rFonts w:hint="default" w:ascii="Times New Roman" w:hAnsi="Times New Roman" w:cs="Times New Roman"/>
                <w:bCs/>
                <w:i w:val="0"/>
                <w:iCs w:val="0"/>
                <w:color w:val="000000" w:themeColor="text1"/>
                <w:sz w:val="24"/>
                <w:highlight w:val="none"/>
                <w:u w:val="single"/>
                <w:vertAlign w:val="superscript"/>
                <w14:textFill>
                  <w14:solidFill>
                    <w14:schemeClr w14:val="tx1"/>
                  </w14:solidFill>
                </w14:textFill>
              </w:rPr>
              <w:t>3</w:t>
            </w:r>
            <w:r>
              <w:rPr>
                <w:rFonts w:hint="default" w:ascii="Times New Roman" w:hAnsi="Times New Roman" w:cs="Times New Roman"/>
                <w:bCs/>
                <w:i w:val="0"/>
                <w:iCs w:val="0"/>
                <w:color w:val="000000" w:themeColor="text1"/>
                <w:sz w:val="24"/>
                <w:highlight w:val="none"/>
                <w:u w:val="single"/>
                <w14:textFill>
                  <w14:solidFill>
                    <w14:schemeClr w14:val="tx1"/>
                  </w14:solidFill>
                </w14:textFill>
              </w:rPr>
              <w:t>/</w:t>
            </w:r>
            <w:r>
              <w:rPr>
                <w:rFonts w:hint="default" w:ascii="Times New Roman" w:hAnsi="Times New Roman" w:cs="Times New Roman"/>
                <w:bCs/>
                <w:i w:val="0"/>
                <w:iCs w:val="0"/>
                <w:color w:val="000000" w:themeColor="text1"/>
                <w:sz w:val="24"/>
                <w:highlight w:val="none"/>
                <w:u w:val="single"/>
                <w:lang w:val="en-US" w:eastAsia="zh-CN"/>
                <w14:textFill>
                  <w14:solidFill>
                    <w14:schemeClr w14:val="tx1"/>
                  </w14:solidFill>
                </w14:textFill>
              </w:rPr>
              <w:t>h</w:t>
            </w:r>
            <w:r>
              <w:rPr>
                <w:rFonts w:hint="default" w:ascii="Times New Roman" w:hAnsi="Times New Roman" w:cs="Times New Roman"/>
                <w:bCs/>
                <w:i w:val="0"/>
                <w:iCs w:val="0"/>
                <w:color w:val="000000" w:themeColor="text1"/>
                <w:kern w:val="0"/>
                <w:sz w:val="24"/>
                <w:highlight w:val="none"/>
                <w:u w:val="single"/>
                <w14:textFill>
                  <w14:solidFill>
                    <w14:schemeClr w14:val="tx1"/>
                  </w14:solidFill>
                </w14:textFill>
              </w:rPr>
              <w:t>，</w:t>
            </w:r>
            <w:r>
              <w:rPr>
                <w:rFonts w:hint="default" w:ascii="Times New Roman" w:hAnsi="Times New Roman" w:cs="Times New Roman"/>
                <w:color w:val="000000" w:themeColor="text1"/>
                <w:sz w:val="24"/>
                <w:highlight w:val="none"/>
                <w:lang w:eastAsia="zh-CN"/>
                <w14:textFill>
                  <w14:solidFill>
                    <w14:schemeClr w14:val="tx1"/>
                  </w14:solidFill>
                </w14:textFill>
              </w:rPr>
              <w:t>该</w:t>
            </w:r>
            <w:r>
              <w:rPr>
                <w:rFonts w:hint="default" w:ascii="Times New Roman" w:hAnsi="Times New Roman" w:cs="Times New Roman"/>
                <w:bCs/>
                <w:color w:val="000000" w:themeColor="text1"/>
                <w:sz w:val="24"/>
                <w:highlight w:val="none"/>
                <w:lang w:eastAsia="zh-CN"/>
                <w14:textFill>
                  <w14:solidFill>
                    <w14:schemeClr w14:val="tx1"/>
                  </w14:solidFill>
                </w14:textFill>
              </w:rPr>
              <w:t>油水分离器</w:t>
            </w:r>
            <w:r>
              <w:rPr>
                <w:rFonts w:hint="default" w:ascii="Times New Roman" w:hAnsi="Times New Roman" w:cs="Times New Roman"/>
                <w:color w:val="000000" w:themeColor="text1"/>
                <w:sz w:val="24"/>
                <w:highlight w:val="none"/>
                <w14:textFill>
                  <w14:solidFill>
                    <w14:schemeClr w14:val="tx1"/>
                  </w14:solidFill>
                </w14:textFill>
              </w:rPr>
              <w:t>可满足本项目厂区</w:t>
            </w:r>
            <w:r>
              <w:rPr>
                <w:rFonts w:hint="default" w:ascii="Times New Roman" w:hAnsi="Times New Roman" w:cs="Times New Roman"/>
                <w:color w:val="000000" w:themeColor="text1"/>
                <w:sz w:val="24"/>
                <w:highlight w:val="none"/>
                <w:lang w:eastAsia="zh-CN"/>
                <w14:textFill>
                  <w14:solidFill>
                    <w14:schemeClr w14:val="tx1"/>
                  </w14:solidFill>
                </w14:textFill>
              </w:rPr>
              <w:t>餐饮废水除油</w:t>
            </w:r>
            <w:r>
              <w:rPr>
                <w:rFonts w:hint="default" w:ascii="Times New Roman" w:hAnsi="Times New Roman" w:cs="Times New Roman"/>
                <w:color w:val="000000" w:themeColor="text1"/>
                <w:sz w:val="24"/>
                <w:highlight w:val="none"/>
                <w14:textFill>
                  <w14:solidFill>
                    <w14:schemeClr w14:val="tx1"/>
                  </w14:solidFill>
                </w14:textFill>
              </w:rPr>
              <w:t>的处理需求。</w:t>
            </w:r>
          </w:p>
          <w:p w14:paraId="2E72EDC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化粪池是处理粪便并加以过滤沉淀的设备。其原理是固化物在池底分解，上层的水化物体，进入管道流走，防止了管道堵塞，给固化物体有充足的时间水解。</w:t>
            </w:r>
          </w:p>
          <w:p w14:paraId="21C7528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本项目设置</w:t>
            </w:r>
            <w:r>
              <w:rPr>
                <w:rFonts w:hint="eastAsia"/>
                <w:color w:val="000000" w:themeColor="text1"/>
                <w:sz w:val="24"/>
                <w:szCs w:val="24"/>
                <w:highlight w:val="none"/>
                <w:lang w:val="en-US" w:eastAsia="zh-CN"/>
                <w14:textFill>
                  <w14:solidFill>
                    <w14:schemeClr w14:val="tx1"/>
                  </w14:solidFill>
                </w14:textFill>
              </w:rPr>
              <w:t>1</w:t>
            </w:r>
            <w:r>
              <w:rPr>
                <w:rFonts w:hint="eastAsia"/>
                <w:color w:val="000000" w:themeColor="text1"/>
                <w:sz w:val="24"/>
                <w:szCs w:val="24"/>
                <w:highlight w:val="none"/>
                <w14:textFill>
                  <w14:solidFill>
                    <w14:schemeClr w14:val="tx1"/>
                  </w14:solidFill>
                </w14:textFill>
              </w:rPr>
              <w:t>座化粪池（容积</w:t>
            </w:r>
            <w:r>
              <w:rPr>
                <w:rFonts w:hint="eastAsia"/>
                <w:color w:val="000000" w:themeColor="text1"/>
                <w:sz w:val="24"/>
                <w:szCs w:val="24"/>
                <w:highlight w:val="none"/>
                <w:lang w:val="en-US" w:eastAsia="zh-CN"/>
                <w14:textFill>
                  <w14:solidFill>
                    <w14:schemeClr w14:val="tx1"/>
                  </w14:solidFill>
                </w14:textFill>
              </w:rPr>
              <w:t>30</w:t>
            </w:r>
            <w:r>
              <w:rPr>
                <w:rFonts w:hint="eastAsia"/>
                <w:color w:val="000000" w:themeColor="text1"/>
                <w:sz w:val="24"/>
                <w:szCs w:val="24"/>
                <w:highlight w:val="none"/>
                <w14:textFill>
                  <w14:solidFill>
                    <w14:schemeClr w14:val="tx1"/>
                  </w14:solidFill>
                </w14:textFill>
              </w:rPr>
              <w:t>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处理管理人员及工人产生的生活污水</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化粪池的</w:t>
            </w:r>
            <w:r>
              <w:rPr>
                <w:rFonts w:hint="eastAsia"/>
                <w:color w:val="000000" w:themeColor="text1"/>
                <w:sz w:val="24"/>
                <w:szCs w:val="24"/>
                <w:highlight w:val="none"/>
                <w14:textFill>
                  <w14:solidFill>
                    <w14:schemeClr w14:val="tx1"/>
                  </w14:solidFill>
                </w14:textFill>
              </w:rPr>
              <w:t>容积能满足本项目生活污水的处理，处理可行。</w:t>
            </w:r>
            <w:r>
              <w:rPr>
                <w:rFonts w:hint="eastAsia"/>
                <w:color w:val="000000" w:themeColor="text1"/>
                <w:sz w:val="24"/>
                <w:szCs w:val="24"/>
                <w:highlight w:val="none"/>
                <w:lang w:eastAsia="zh-CN"/>
                <w14:textFill>
                  <w14:solidFill>
                    <w14:schemeClr w14:val="tx1"/>
                  </w14:solidFill>
                </w14:textFill>
              </w:rPr>
              <w:t>本项目生活污水</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w:t>
            </w:r>
            <w:r>
              <w:rPr>
                <w:rFonts w:hint="eastAsia" w:cs="Times New Roman"/>
                <w:color w:val="000000" w:themeColor="text1"/>
                <w:sz w:val="24"/>
                <w:szCs w:val="24"/>
                <w:highlight w:val="none"/>
                <w:lang w:eastAsia="zh-CN"/>
                <w14:textFill>
                  <w14:solidFill>
                    <w14:schemeClr w14:val="tx1"/>
                  </w14:solidFill>
                </w14:textFill>
              </w:rPr>
              <w:t>由吸污车拉运至</w:t>
            </w:r>
            <w:r>
              <w:rPr>
                <w:rFonts w:hint="default" w:ascii="Times New Roman" w:hAnsi="Times New Roman" w:eastAsia="宋体" w:cs="Times New Roman"/>
                <w:color w:val="000000" w:themeColor="text1"/>
                <w:sz w:val="24"/>
                <w:szCs w:val="24"/>
                <w:highlight w:val="none"/>
                <w14:textFill>
                  <w14:solidFill>
                    <w14:schemeClr w14:val="tx1"/>
                  </w14:solidFill>
                </w14:textFill>
              </w:rPr>
              <w:t>宝梵污水处理厂。</w:t>
            </w:r>
          </w:p>
          <w:p w14:paraId="5F47A66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蓬溪县宝梵镇污水处理厂位于蓬溪县宝梵镇鹤桥村</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社，总占地</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highlight w:val="none"/>
                <w14:textFill>
                  <w14:solidFill>
                    <w14:schemeClr w14:val="tx1"/>
                  </w14:solidFill>
                </w14:textFill>
              </w:rPr>
              <w:t>亩。铺设DN400-600污水管网7.8公里，处理规模为2000m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/d。蓬溪县宝梵镇污水处理厂采用较为先进的污水处理工艺，用于处理蓬溪县宝梵镇生活污水及少量工业区生产废水。废水进入蓬溪县宝梵镇污水处理厂处理达一级</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highlight w:val="none"/>
                <w14:textFill>
                  <w14:solidFill>
                    <w14:schemeClr w14:val="tx1"/>
                  </w14:solidFill>
                </w14:textFill>
              </w:rPr>
              <w:t>标后，最终排入小潼河。</w:t>
            </w:r>
          </w:p>
          <w:p w14:paraId="7C8F589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本项目外排</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w:t>
            </w:r>
            <w:r>
              <w:rPr>
                <w:rFonts w:hint="default" w:ascii="Times New Roman" w:hAnsi="Times New Roman" w:eastAsia="宋体" w:cs="Times New Roman"/>
                <w:color w:val="000000" w:themeColor="text1"/>
                <w:sz w:val="24"/>
                <w:szCs w:val="24"/>
                <w:highlight w:val="none"/>
                <w14:textFill>
                  <w14:solidFill>
                    <w14:schemeClr w14:val="tx1"/>
                  </w14:solidFill>
                </w14:textFill>
              </w:rPr>
              <w:t>总量为</w:t>
            </w:r>
            <w:r>
              <w:rPr>
                <w:rFonts w:hint="eastAsia" w:cs="Times New Roman"/>
                <w:color w:val="000000" w:themeColor="text1"/>
                <w:sz w:val="24"/>
                <w:szCs w:val="24"/>
                <w:highlight w:val="none"/>
                <w:lang w:val="en-US" w:eastAsia="zh-CN"/>
                <w14:textFill>
                  <w14:solidFill>
                    <w14:schemeClr w14:val="tx1"/>
                  </w14:solidFill>
                </w14:textFill>
              </w:rPr>
              <w:t>5.4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/d，污水处理厂处理规模为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0.2</w:t>
            </w:r>
            <w:r>
              <w:rPr>
                <w:rFonts w:hint="default" w:ascii="Times New Roman" w:hAnsi="Times New Roman" w:eastAsia="宋体" w:cs="Times New Roman"/>
                <w:color w:val="000000" w:themeColor="text1"/>
                <w:sz w:val="24"/>
                <w:szCs w:val="24"/>
                <w:highlight w:val="none"/>
                <w14:textFill>
                  <w14:solidFill>
                    <w14:schemeClr w14:val="tx1"/>
                  </w14:solidFill>
                </w14:textFill>
              </w:rPr>
              <w:t>万m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/d，现宝梵污水处理厂已正式投入运行，</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蓬溪县宝梵</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污水处理厂未出现满负荷运行</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因此，本项目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生活污水</w:t>
            </w:r>
            <w:r>
              <w:rPr>
                <w:rFonts w:hint="default" w:ascii="Times New Roman" w:hAnsi="Times New Roman" w:eastAsia="宋体" w:cs="Times New Roman"/>
                <w:color w:val="000000" w:themeColor="text1"/>
                <w:sz w:val="24"/>
                <w:szCs w:val="24"/>
                <w:highlight w:val="none"/>
                <w14:textFill>
                  <w14:solidFill>
                    <w14:schemeClr w14:val="tx1"/>
                  </w14:solidFill>
                </w14:textFill>
              </w:rPr>
              <w:t>进入宝梵污水处理厂处理是可行性的。</w:t>
            </w:r>
          </w:p>
          <w:p w14:paraId="306F4DF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蓬溪县宝梵镇污水处理厂尾水排入小潼河，项目建成后，废水排放量为</w:t>
            </w:r>
            <w:r>
              <w:rPr>
                <w:rFonts w:hint="eastAsia"/>
                <w:color w:val="000000" w:themeColor="text1"/>
                <w:sz w:val="24"/>
                <w:szCs w:val="24"/>
                <w:highlight w:val="none"/>
                <w:lang w:val="en-US" w:eastAsia="zh-CN"/>
                <w14:textFill>
                  <w14:solidFill>
                    <w14:schemeClr w14:val="tx1"/>
                  </w14:solidFill>
                </w14:textFill>
              </w:rPr>
              <w:t>5.4</w:t>
            </w:r>
            <w:r>
              <w:rPr>
                <w:rFonts w:hint="eastAsia"/>
                <w:color w:val="000000" w:themeColor="text1"/>
                <w:sz w:val="24"/>
                <w:szCs w:val="24"/>
                <w:highlight w:val="none"/>
                <w14:textFill>
                  <w14:solidFill>
                    <w14:schemeClr w14:val="tx1"/>
                  </w14:solidFill>
                </w14:textFill>
              </w:rPr>
              <w:t>m³/d，仅为污水处理厂设计处理规模的0.</w:t>
            </w:r>
            <w:r>
              <w:rPr>
                <w:rFonts w:hint="eastAsia"/>
                <w:color w:val="000000" w:themeColor="text1"/>
                <w:sz w:val="24"/>
                <w:szCs w:val="24"/>
                <w:highlight w:val="none"/>
                <w:lang w:val="en-US" w:eastAsia="zh-CN"/>
                <w14:textFill>
                  <w14:solidFill>
                    <w14:schemeClr w14:val="tx1"/>
                  </w14:solidFill>
                </w14:textFill>
              </w:rPr>
              <w:t>27</w:t>
            </w:r>
            <w:r>
              <w:rPr>
                <w:rFonts w:hint="eastAsia"/>
                <w:color w:val="000000" w:themeColor="text1"/>
                <w:sz w:val="24"/>
                <w:szCs w:val="24"/>
                <w:highlight w:val="none"/>
                <w14:textFill>
                  <w14:solidFill>
                    <w14:schemeClr w14:val="tx1"/>
                  </w14:solidFill>
                </w14:textFill>
              </w:rPr>
              <w:t>%，经污水处理厂处理后，其尾水排放浓度达到《城镇污水处理厂污染物排放标准》（GB18918-2002）一级</w:t>
            </w:r>
            <w:r>
              <w:rPr>
                <w:rFonts w:hint="eastAsia"/>
                <w:color w:val="000000" w:themeColor="text1"/>
                <w:sz w:val="24"/>
                <w:szCs w:val="24"/>
                <w:highlight w:val="none"/>
                <w:lang w:val="en-US" w:eastAsia="zh-CN"/>
                <w14:textFill>
                  <w14:solidFill>
                    <w14:schemeClr w14:val="tx1"/>
                  </w14:solidFill>
                </w14:textFill>
              </w:rPr>
              <w:t>A</w:t>
            </w:r>
            <w:r>
              <w:rPr>
                <w:rFonts w:hint="eastAsia"/>
                <w:color w:val="000000" w:themeColor="text1"/>
                <w:sz w:val="24"/>
                <w:szCs w:val="24"/>
                <w:highlight w:val="none"/>
                <w14:textFill>
                  <w14:solidFill>
                    <w14:schemeClr w14:val="tx1"/>
                  </w14:solidFill>
                </w14:textFill>
              </w:rPr>
              <w:t>标准后排入小潼河。由此可见，本项目建成后，废水排放不会改变最终受纳水体水质。因此本项目生活废水依托可行。</w:t>
            </w:r>
          </w:p>
          <w:p w14:paraId="077F330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生产废水处理措施可行性分析</w:t>
            </w:r>
          </w:p>
          <w:p w14:paraId="1169EA5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搅拌机冲洗、地坪冲洗废水等经收集后进入砂石分离器，污水收集池，进入五级沉淀池，同时添加絮凝沉淀剂（PAM、PAC），沉淀池底泥定期清掏，进入压滤机进行进一步固液分离，上清液回用，压滤泥饼收集后定期外运至G42线南充至成都段高速公路扩容工程弃渣场（经纬度：105.5903，30.6304）。</w:t>
            </w:r>
          </w:p>
          <w:p w14:paraId="059C028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絮凝沉淀作用：废水经絮凝剂使水中悬浮颗粒发生絮凝沉降，本项目使用的絮凝剂主要成分为聚合氯化铝絮凝剂。生产废水投加絮凝剂后，形成矾花，絮体互相碰撞凝聚，颗粒尺寸变大，沉速随深度而增加。絮凝过程为生产废水中细小胶体与分散颗粒由于分子吸引力的作用互相粘结凝聚的过程，生成的矾花在沉淀、过滤处理过程中起着强化和提高处理效率的作用。</w:t>
            </w:r>
          </w:p>
          <w:p w14:paraId="06E77D9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0" w:firstLineChars="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object>
                <v:shape id="_x0000_i1032" o:spt="75" type="#_x0000_t75" style="height:116.9pt;width:378.1pt;" o:ole="t" filled="f" o:preferrelative="t" stroked="f" coordsize="21600,21600">
                  <v:path/>
                  <v:fill on="f" focussize="0,0"/>
                  <v:stroke on="f"/>
                  <v:imagedata r:id="rId32" o:title=""/>
                  <o:lock v:ext="edit" aspectratio="f"/>
                  <w10:wrap type="none"/>
                  <w10:anchorlock/>
                </v:shape>
                <o:OLEObject Type="Embed" ProgID="Visio.Drawing.15" ShapeID="_x0000_i1032" DrawAspect="Content" ObjectID="_1468075732" r:id="rId31">
                  <o:LockedField>false</o:LockedField>
                </o:OLEObject>
              </w:object>
            </w:r>
          </w:p>
          <w:p w14:paraId="6614CB4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eastAsia="宋体"/>
                <w:b/>
                <w:bCs/>
                <w:color w:val="000000" w:themeColor="text1"/>
                <w:sz w:val="21"/>
                <w:szCs w:val="21"/>
                <w:highlight w:val="none"/>
                <w:lang w:val="en-US" w:eastAsia="zh-CN"/>
                <w14:textFill>
                  <w14:solidFill>
                    <w14:schemeClr w14:val="tx1"/>
                  </w14:solidFill>
                </w14:textFill>
              </w:rPr>
            </w:pPr>
            <w:r>
              <w:rPr>
                <w:rFonts w:hint="eastAsia"/>
                <w:b/>
                <w:bCs/>
                <w:color w:val="000000" w:themeColor="text1"/>
                <w:sz w:val="21"/>
                <w:szCs w:val="21"/>
                <w:highlight w:val="none"/>
                <w:lang w:eastAsia="zh-CN"/>
                <w14:textFill>
                  <w14:solidFill>
                    <w14:schemeClr w14:val="tx1"/>
                  </w14:solidFill>
                </w14:textFill>
              </w:rPr>
              <w:t>图</w:t>
            </w:r>
            <w:r>
              <w:rPr>
                <w:rFonts w:hint="eastAsia"/>
                <w:b/>
                <w:bCs/>
                <w:color w:val="000000" w:themeColor="text1"/>
                <w:sz w:val="21"/>
                <w:szCs w:val="21"/>
                <w:highlight w:val="none"/>
                <w:lang w:val="en-US" w:eastAsia="zh-CN"/>
                <w14:textFill>
                  <w14:solidFill>
                    <w14:schemeClr w14:val="tx1"/>
                  </w14:solidFill>
                </w14:textFill>
              </w:rPr>
              <w:t>4-1     生产废水处理工艺流程</w:t>
            </w:r>
          </w:p>
          <w:p w14:paraId="2BADCFA1">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本项目搅拌机冲洗、地坪冲洗、洗砂废水等生产废水量为</w:t>
            </w:r>
            <w:r>
              <w:rPr>
                <w:rFonts w:hint="eastAsia"/>
                <w:color w:val="000000" w:themeColor="text1"/>
                <w:sz w:val="24"/>
                <w:szCs w:val="24"/>
                <w:highlight w:val="none"/>
                <w:lang w:val="en-US" w:eastAsia="zh-CN"/>
                <w14:textFill>
                  <w14:solidFill>
                    <w14:schemeClr w14:val="tx1"/>
                  </w14:solidFill>
                </w14:textFill>
              </w:rPr>
              <w:t>11.5m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/d，</w:t>
            </w:r>
            <w:r>
              <w:rPr>
                <w:rFonts w:hint="eastAsia" w:ascii="宋体" w:hAnsi="宋体"/>
                <w:color w:val="000000" w:themeColor="text1"/>
                <w:sz w:val="24"/>
                <w:highlight w:val="none"/>
                <w:lang w:eastAsia="zh-CN"/>
                <w14:textFill>
                  <w14:solidFill>
                    <w14:schemeClr w14:val="tx1"/>
                  </w14:solidFill>
                </w14:textFill>
              </w:rPr>
              <w:t>废水处理系统总容积</w:t>
            </w:r>
            <w:r>
              <w:rPr>
                <w:rFonts w:hint="default" w:ascii="Times New Roman" w:hAnsi="Times New Roman" w:cs="Times New Roman"/>
                <w:color w:val="000000" w:themeColor="text1"/>
                <w:sz w:val="24"/>
                <w:highlight w:val="none"/>
                <w:lang w:eastAsia="zh-CN"/>
                <w14:textFill>
                  <w14:solidFill>
                    <w14:schemeClr w14:val="tx1"/>
                  </w14:solidFill>
                </w14:textFill>
              </w:rPr>
              <w:t>为</w:t>
            </w:r>
            <w:r>
              <w:rPr>
                <w:rFonts w:hint="eastAsia" w:cs="Times New Roman"/>
                <w:color w:val="000000" w:themeColor="text1"/>
                <w:sz w:val="24"/>
                <w:highlight w:val="none"/>
                <w:lang w:val="en-US" w:eastAsia="zh-CN"/>
                <w14:textFill>
                  <w14:solidFill>
                    <w14:schemeClr w14:val="tx1"/>
                  </w14:solidFill>
                </w14:textFill>
              </w:rPr>
              <w:t>200</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m</w:t>
            </w:r>
            <w:r>
              <w:rPr>
                <w:rFonts w:hint="default" w:ascii="Times New Roman" w:hAnsi="Times New Roman"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项目废水停留时间能够满足</w:t>
            </w:r>
            <w:r>
              <w:rPr>
                <w:rFonts w:hint="eastAsia" w:cs="Times New Roman"/>
                <w:color w:val="000000" w:themeColor="text1"/>
                <w:sz w:val="24"/>
                <w:szCs w:val="24"/>
                <w:highlight w:val="none"/>
                <w:lang w:val="en-US" w:eastAsia="zh-CN"/>
                <w14:textFill>
                  <w14:solidFill>
                    <w14:schemeClr w14:val="tx1"/>
                  </w14:solidFill>
                </w14:textFill>
              </w:rPr>
              <w:t>24</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h的沉淀要求，处理措施可行。</w:t>
            </w:r>
          </w:p>
          <w:p w14:paraId="383BD74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蒸养废水</w:t>
            </w:r>
            <w:r>
              <w:rPr>
                <w:rFonts w:hint="eastAsia"/>
                <w:color w:val="000000" w:themeColor="text1"/>
                <w:sz w:val="24"/>
                <w:szCs w:val="24"/>
                <w:highlight w:val="none"/>
                <w:lang w:eastAsia="zh-CN"/>
                <w14:textFill>
                  <w14:solidFill>
                    <w14:schemeClr w14:val="tx1"/>
                  </w14:solidFill>
                </w14:textFill>
              </w:rPr>
              <w:t>量为</w:t>
            </w:r>
            <w:r>
              <w:rPr>
                <w:rFonts w:hint="eastAsia"/>
                <w:color w:val="000000" w:themeColor="text1"/>
                <w:sz w:val="24"/>
                <w:szCs w:val="24"/>
                <w:highlight w:val="none"/>
                <w:lang w:val="en-US" w:eastAsia="zh-CN"/>
                <w14:textFill>
                  <w14:solidFill>
                    <w14:schemeClr w14:val="tx1"/>
                  </w14:solidFill>
                </w14:textFill>
              </w:rPr>
              <w:t>1.5m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/d，</w:t>
            </w:r>
            <w:r>
              <w:rPr>
                <w:rFonts w:hint="eastAsia"/>
                <w:color w:val="000000" w:themeColor="text1"/>
                <w:sz w:val="24"/>
                <w:szCs w:val="21"/>
                <w:highlight w:val="none"/>
                <w:lang w:eastAsia="zh-CN"/>
                <w14:textFill>
                  <w14:solidFill>
                    <w14:schemeClr w14:val="tx1"/>
                  </w14:solidFill>
                </w14:textFill>
              </w:rPr>
              <w:t>经沉淀池（</w:t>
            </w:r>
            <w:r>
              <w:rPr>
                <w:rFonts w:hint="eastAsia"/>
                <w:color w:val="000000" w:themeColor="text1"/>
                <w:sz w:val="24"/>
                <w:szCs w:val="24"/>
                <w:highlight w:val="none"/>
                <w:lang w:val="en-US" w:eastAsia="zh-CN"/>
                <w14:textFill>
                  <w14:solidFill>
                    <w14:schemeClr w14:val="tx1"/>
                  </w14:solidFill>
                </w14:textFill>
              </w:rPr>
              <w:t>10m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1"/>
                <w:highlight w:val="none"/>
                <w:lang w:eastAsia="zh-CN"/>
                <w14:textFill>
                  <w14:solidFill>
                    <w14:schemeClr w14:val="tx1"/>
                  </w14:solidFill>
                </w14:textFill>
              </w:rPr>
              <w:t>）沉淀后回用于抑尘用水等，沉淀池容积满足废水容量需求，措施可行。</w:t>
            </w:r>
          </w:p>
          <w:p w14:paraId="363D88A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运输车辆冲洗废水量为5.4</w:t>
            </w:r>
            <w:r>
              <w:rPr>
                <w:rFonts w:hint="eastAsia"/>
                <w:color w:val="000000" w:themeColor="text1"/>
                <w:sz w:val="24"/>
                <w:szCs w:val="24"/>
                <w:highlight w:val="none"/>
                <w:lang w:val="en-US" w:eastAsia="zh-CN"/>
                <w14:textFill>
                  <w14:solidFill>
                    <w14:schemeClr w14:val="tx1"/>
                  </w14:solidFill>
                </w14:textFill>
              </w:rPr>
              <w:t>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/d，经隔油沉淀池（6m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）处理后回用于车辆冲洗，</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项目废水停留时间能够满足1</w:t>
            </w:r>
            <w:r>
              <w:rPr>
                <w:rFonts w:hint="eastAsia" w:cs="Times New Roman"/>
                <w:color w:val="000000" w:themeColor="text1"/>
                <w:sz w:val="24"/>
                <w:szCs w:val="24"/>
                <w:highlight w:val="none"/>
                <w:lang w:val="en-US" w:eastAsia="zh-CN"/>
                <w14:textFill>
                  <w14:solidFill>
                    <w14:schemeClr w14:val="tx1"/>
                  </w14:solidFill>
                </w14:textFill>
              </w:rPr>
              <w:t>d</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的沉淀要求，</w:t>
            </w:r>
            <w:r>
              <w:rPr>
                <w:rFonts w:hint="eastAsia"/>
                <w:color w:val="000000" w:themeColor="text1"/>
                <w:sz w:val="24"/>
                <w:szCs w:val="24"/>
                <w:highlight w:val="none"/>
                <w:lang w:val="en-US" w:eastAsia="zh-CN"/>
                <w14:textFill>
                  <w14:solidFill>
                    <w14:schemeClr w14:val="tx1"/>
                  </w14:solidFill>
                </w14:textFill>
              </w:rPr>
              <w:t>隔油</w:t>
            </w:r>
            <w:r>
              <w:rPr>
                <w:rFonts w:hint="eastAsia"/>
                <w:color w:val="000000" w:themeColor="text1"/>
                <w:sz w:val="24"/>
                <w:szCs w:val="21"/>
                <w:highlight w:val="none"/>
                <w:lang w:eastAsia="zh-CN"/>
                <w14:textFill>
                  <w14:solidFill>
                    <w14:schemeClr w14:val="tx1"/>
                  </w14:solidFill>
                </w14:textFill>
              </w:rPr>
              <w:t>沉淀池容积满足废水容量需求，措施可行。</w:t>
            </w:r>
          </w:p>
          <w:p w14:paraId="1C1FBE9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生产废水经处理后，回用于生产及厂区洒水降尘；</w:t>
            </w:r>
            <w:r>
              <w:rPr>
                <w:rFonts w:hint="eastAsia"/>
                <w:color w:val="000000" w:themeColor="text1"/>
                <w:sz w:val="24"/>
                <w:szCs w:val="24"/>
                <w:highlight w:val="none"/>
                <w:lang w:eastAsia="zh-CN"/>
                <w14:textFill>
                  <w14:solidFill>
                    <w14:schemeClr w14:val="tx1"/>
                  </w14:solidFill>
                </w14:textFill>
              </w:rPr>
              <w:t>抑尘</w:t>
            </w:r>
            <w:r>
              <w:rPr>
                <w:rFonts w:hint="eastAsia"/>
                <w:color w:val="000000" w:themeColor="text1"/>
                <w:sz w:val="24"/>
                <w:szCs w:val="24"/>
                <w:highlight w:val="none"/>
                <w14:textFill>
                  <w14:solidFill>
                    <w14:schemeClr w14:val="tx1"/>
                  </w14:solidFill>
                </w14:textFill>
              </w:rPr>
              <w:t>用水对水质无过大要求，</w:t>
            </w:r>
            <w:r>
              <w:rPr>
                <w:rFonts w:hint="eastAsia"/>
                <w:color w:val="000000" w:themeColor="text1"/>
                <w:sz w:val="24"/>
                <w:highlight w:val="none"/>
                <w14:textFill>
                  <w14:solidFill>
                    <w14:schemeClr w14:val="tx1"/>
                  </w14:solidFill>
                </w14:textFill>
              </w:rPr>
              <w:t>生产废水可全部回用，既避免了废水的排放，又节约了水资源，增大了资源利用率，提高了清洁生产水平，产生了经济效益。建设单位拟定期对生产废水处理回用系统进行清理及检修，防止生产废水无法循环使用，保证废水处理池均正常运作。</w:t>
            </w:r>
            <w:r>
              <w:rPr>
                <w:rFonts w:hint="eastAsia"/>
                <w:color w:val="000000" w:themeColor="text1"/>
                <w:sz w:val="24"/>
                <w:szCs w:val="24"/>
                <w:highlight w:val="none"/>
                <w14:textFill>
                  <w14:solidFill>
                    <w14:schemeClr w14:val="tx1"/>
                  </w14:solidFill>
                </w14:textFill>
              </w:rPr>
              <w:t>项目</w:t>
            </w:r>
            <w:r>
              <w:rPr>
                <w:rFonts w:hint="eastAsia" w:ascii="宋体" w:hAnsi="宋体"/>
                <w:color w:val="000000" w:themeColor="text1"/>
                <w:sz w:val="24"/>
                <w:highlight w:val="none"/>
                <w14:textFill>
                  <w14:solidFill>
                    <w14:schemeClr w14:val="tx1"/>
                  </w14:solidFill>
                </w14:textFill>
              </w:rPr>
              <w:t>生产废水</w:t>
            </w:r>
            <w:r>
              <w:rPr>
                <w:rFonts w:hint="eastAsia"/>
                <w:color w:val="000000" w:themeColor="text1"/>
                <w:sz w:val="24"/>
                <w:szCs w:val="24"/>
                <w:highlight w:val="none"/>
                <w14:textFill>
                  <w14:solidFill>
                    <w14:schemeClr w14:val="tx1"/>
                  </w14:solidFill>
                </w14:textFill>
              </w:rPr>
              <w:t>回用可行。</w:t>
            </w:r>
          </w:p>
          <w:p w14:paraId="4C80935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（3）雨水处理措施可行性分析</w:t>
            </w:r>
          </w:p>
          <w:p w14:paraId="01E80EF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color w:val="000000" w:themeColor="text1"/>
                <w:sz w:val="24"/>
                <w:highlight w:val="none"/>
                <w:lang w:eastAsia="zh-CN"/>
                <w14:textFill>
                  <w14:solidFill>
                    <w14:schemeClr w14:val="tx1"/>
                  </w14:solidFill>
                </w14:textFill>
              </w:rPr>
              <w:t>本项目采取雨污分流制，初期雨水经进入雨水收集池处理，经沉淀处理后的废水回用于生产。在项目雨水排口前设切换井，雨水排口切换井设两个出口，一个出口与雨水收集池相连，一个出口与厂区外雨水沟相通。当降雨时，关闭阀门，初期雨水经雨水沟收集，进入项目雨水收集池。一段时间（一般</w:t>
            </w:r>
            <w:r>
              <w:rPr>
                <w:rFonts w:hint="eastAsia"/>
                <w:color w:val="000000" w:themeColor="text1"/>
                <w:sz w:val="24"/>
                <w:highlight w:val="none"/>
                <w:lang w:val="en-US" w:eastAsia="zh-CN"/>
                <w14:textFill>
                  <w14:solidFill>
                    <w14:schemeClr w14:val="tx1"/>
                  </w14:solidFill>
                </w14:textFill>
              </w:rPr>
              <w:t>15</w:t>
            </w:r>
            <w:r>
              <w:rPr>
                <w:rFonts w:hint="eastAsia"/>
                <w:color w:val="000000" w:themeColor="text1"/>
                <w:sz w:val="24"/>
                <w:highlight w:val="none"/>
                <w:lang w:eastAsia="zh-CN"/>
                <w14:textFill>
                  <w14:solidFill>
                    <w14:schemeClr w14:val="tx1"/>
                  </w14:solidFill>
                </w14:textFill>
              </w:rPr>
              <w:t>min）后手动切换阀门，后期雨水由雨水沟排出项目厂外。</w:t>
            </w:r>
          </w:p>
          <w:p w14:paraId="4F8D2AD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cs="Times New Roman"/>
                <w:color w:val="000000" w:themeColor="text1"/>
                <w:sz w:val="24"/>
                <w:highlight w:val="none"/>
                <w:lang w:eastAsia="zh-CN"/>
                <w14:textFill>
                  <w14:solidFill>
                    <w14:schemeClr w14:val="tx1"/>
                  </w14:solidFill>
                </w14:textFill>
              </w:rPr>
            </w:pPr>
            <w:r>
              <w:rPr>
                <w:rFonts w:hint="default" w:ascii="Times New Roman" w:hAnsi="Times New Roman" w:cs="Times New Roman"/>
                <w:color w:val="000000" w:themeColor="text1"/>
                <w:sz w:val="24"/>
                <w:highlight w:val="none"/>
                <w:lang w:eastAsia="zh-CN"/>
                <w14:textFill>
                  <w14:solidFill>
                    <w14:schemeClr w14:val="tx1"/>
                  </w14:solidFill>
                </w14:textFill>
              </w:rPr>
              <w:t>雨水收集池有效容积应满足水力停留时间不低于</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highlight w:val="none"/>
                <w:lang w:eastAsia="zh-CN"/>
                <w14:textFill>
                  <w14:solidFill>
                    <w14:schemeClr w14:val="tx1"/>
                  </w14:solidFill>
                </w14:textFill>
              </w:rPr>
              <w:t>min要求，初期雨水量按满足最大暴雨量气候条件下计算，暴雨期</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highlight w:val="none"/>
                <w:lang w:eastAsia="zh-CN"/>
                <w14:textFill>
                  <w14:solidFill>
                    <w14:schemeClr w14:val="tx1"/>
                  </w14:solidFill>
                </w14:textFill>
              </w:rPr>
              <w:t>min初期雨水量为</w:t>
            </w:r>
            <w:r>
              <w:rPr>
                <w:rFonts w:hint="eastAsia" w:cs="Times New Roman"/>
                <w:color w:val="000000" w:themeColor="text1"/>
                <w:sz w:val="24"/>
                <w:highlight w:val="none"/>
                <w:lang w:val="en-US" w:eastAsia="zh-CN"/>
                <w14:textFill>
                  <w14:solidFill>
                    <w14:schemeClr w14:val="tx1"/>
                  </w14:solidFill>
                </w14:textFill>
              </w:rPr>
              <w:t>180.11</w:t>
            </w:r>
            <w:r>
              <w:rPr>
                <w:rFonts w:hint="default" w:ascii="Times New Roman" w:hAnsi="Times New Roman" w:cs="Times New Roman"/>
                <w:color w:val="000000" w:themeColor="text1"/>
                <w:sz w:val="24"/>
                <w:highlight w:val="none"/>
                <w:lang w:eastAsia="zh-CN"/>
                <w14:textFill>
                  <w14:solidFill>
                    <w14:schemeClr w14:val="tx1"/>
                  </w14:solidFill>
                </w14:textFill>
              </w:rPr>
              <w:t>m</w:t>
            </w:r>
            <w:r>
              <w:rPr>
                <w:rFonts w:hint="default" w:ascii="Times New Roman" w:hAnsi="Times New Roman" w:cs="Times New Roman"/>
                <w:color w:val="000000" w:themeColor="text1"/>
                <w:sz w:val="24"/>
                <w:highlight w:val="none"/>
                <w:vertAlign w:val="superscript"/>
                <w:lang w:eastAsia="zh-CN"/>
                <w14:textFill>
                  <w14:solidFill>
                    <w14:schemeClr w14:val="tx1"/>
                  </w14:solidFill>
                </w14:textFill>
              </w:rPr>
              <w:t>3</w:t>
            </w:r>
            <w:r>
              <w:rPr>
                <w:rFonts w:hint="default" w:ascii="Times New Roman" w:hAnsi="Times New Roman" w:cs="Times New Roman"/>
                <w:color w:val="000000" w:themeColor="text1"/>
                <w:sz w:val="24"/>
                <w:highlight w:val="none"/>
                <w:lang w:eastAsia="zh-CN"/>
                <w14:textFill>
                  <w14:solidFill>
                    <w14:schemeClr w14:val="tx1"/>
                  </w14:solidFill>
                </w14:textFill>
              </w:rPr>
              <w:t>。项目雨水收集容积应不低于</w:t>
            </w:r>
            <w:r>
              <w:rPr>
                <w:rFonts w:hint="eastAsia" w:cs="Times New Roman"/>
                <w:color w:val="000000" w:themeColor="text1"/>
                <w:sz w:val="24"/>
                <w:highlight w:val="none"/>
                <w:lang w:val="en-US" w:eastAsia="zh-CN"/>
                <w14:textFill>
                  <w14:solidFill>
                    <w14:schemeClr w14:val="tx1"/>
                  </w14:solidFill>
                </w14:textFill>
              </w:rPr>
              <w:t>200</w:t>
            </w:r>
            <w:r>
              <w:rPr>
                <w:rFonts w:hint="default" w:ascii="Times New Roman" w:hAnsi="Times New Roman" w:cs="Times New Roman"/>
                <w:color w:val="000000" w:themeColor="text1"/>
                <w:sz w:val="24"/>
                <w:highlight w:val="none"/>
                <w:lang w:eastAsia="zh-CN"/>
                <w14:textFill>
                  <w14:solidFill>
                    <w14:schemeClr w14:val="tx1"/>
                  </w14:solidFill>
                </w14:textFill>
              </w:rPr>
              <w:t>m</w:t>
            </w:r>
            <w:r>
              <w:rPr>
                <w:rFonts w:hint="default" w:ascii="Times New Roman" w:hAnsi="Times New Roman" w:cs="Times New Roman"/>
                <w:color w:val="000000" w:themeColor="text1"/>
                <w:sz w:val="24"/>
                <w:highlight w:val="none"/>
                <w:vertAlign w:val="superscript"/>
                <w:lang w:eastAsia="zh-CN"/>
                <w14:textFill>
                  <w14:solidFill>
                    <w14:schemeClr w14:val="tx1"/>
                  </w14:solidFill>
                </w14:textFill>
              </w:rPr>
              <w:t>3</w:t>
            </w:r>
            <w:r>
              <w:rPr>
                <w:rFonts w:hint="eastAsia" w:cs="Times New Roman"/>
                <w:color w:val="000000" w:themeColor="text1"/>
                <w:sz w:val="24"/>
                <w:highlight w:val="none"/>
                <w:lang w:eastAsia="zh-CN"/>
                <w14:textFill>
                  <w14:solidFill>
                    <w14:schemeClr w14:val="tx1"/>
                  </w14:solidFill>
                </w14:textFill>
              </w:rPr>
              <w:t>，容量满足需求</w:t>
            </w:r>
            <w:r>
              <w:rPr>
                <w:rFonts w:hint="default" w:ascii="Times New Roman" w:hAnsi="Times New Roman"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eastAsia="zh-CN"/>
                <w14:textFill>
                  <w14:solidFill>
                    <w14:schemeClr w14:val="tx1"/>
                  </w14:solidFill>
                </w14:textFill>
              </w:rPr>
              <w:t>处理措施可行。</w:t>
            </w:r>
          </w:p>
          <w:p w14:paraId="6A9AA1D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）对小潼河地表水环境的保护措施</w:t>
            </w:r>
          </w:p>
          <w:p w14:paraId="4F68A32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小潼河位于本项目南侧约</w:t>
            </w:r>
            <w:r>
              <w:rPr>
                <w:rFonts w:hint="eastAsia"/>
                <w:color w:val="000000" w:themeColor="text1"/>
                <w:sz w:val="24"/>
                <w:szCs w:val="24"/>
                <w:highlight w:val="none"/>
                <w:lang w:val="en-US" w:eastAsia="zh-CN"/>
                <w14:textFill>
                  <w14:solidFill>
                    <w14:schemeClr w14:val="tx1"/>
                  </w14:solidFill>
                </w14:textFill>
              </w:rPr>
              <w:t>203m处，</w:t>
            </w:r>
            <w:r>
              <w:rPr>
                <w:rFonts w:hint="eastAsia"/>
                <w:color w:val="000000" w:themeColor="text1"/>
                <w:sz w:val="24"/>
                <w:szCs w:val="24"/>
                <w:highlight w:val="none"/>
                <w:lang w:eastAsia="zh-CN"/>
                <w14:textFill>
                  <w14:solidFill>
                    <w14:schemeClr w14:val="tx1"/>
                  </w14:solidFill>
                </w14:textFill>
              </w:rPr>
              <w:t>本项目生产废水经处理后回用于生产，不外排；初期雨水经收集处理后回用于生产，不外排；生活污水</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w:t>
            </w:r>
            <w:r>
              <w:rPr>
                <w:rFonts w:hint="eastAsia" w:cs="Times New Roman"/>
                <w:color w:val="000000" w:themeColor="text1"/>
                <w:sz w:val="24"/>
                <w:szCs w:val="24"/>
                <w:highlight w:val="none"/>
                <w:lang w:eastAsia="zh-CN"/>
                <w14:textFill>
                  <w14:solidFill>
                    <w14:schemeClr w14:val="tx1"/>
                  </w14:solidFill>
                </w14:textFill>
              </w:rPr>
              <w:t>由罐车拉运至</w:t>
            </w:r>
            <w:r>
              <w:rPr>
                <w:rFonts w:hint="default" w:ascii="Times New Roman" w:hAnsi="Times New Roman" w:eastAsia="宋体" w:cs="Times New Roman"/>
                <w:color w:val="000000" w:themeColor="text1"/>
                <w:sz w:val="24"/>
                <w:szCs w:val="24"/>
                <w:highlight w:val="none"/>
                <w14:textFill>
                  <w14:solidFill>
                    <w14:schemeClr w14:val="tx1"/>
                  </w14:solidFill>
                </w14:textFill>
              </w:rPr>
              <w:t>宝梵污水处理厂。</w:t>
            </w:r>
            <w:r>
              <w:rPr>
                <w:rFonts w:hint="eastAsia"/>
                <w:color w:val="000000" w:themeColor="text1"/>
                <w:sz w:val="24"/>
                <w:szCs w:val="24"/>
                <w:highlight w:val="none"/>
                <w:lang w:eastAsia="zh-CN"/>
                <w14:textFill>
                  <w14:solidFill>
                    <w14:schemeClr w14:val="tx1"/>
                  </w14:solidFill>
                </w14:textFill>
              </w:rPr>
              <w:t>本项目无废水直排，同时加强对厂区污水处理设施的维护和管理，本项目对小潼河地表水环境影响较小。</w:t>
            </w:r>
          </w:p>
          <w:p w14:paraId="702E483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b/>
                <w:color w:val="000000" w:themeColor="text1"/>
                <w:sz w:val="24"/>
                <w:highlight w:val="none"/>
                <w14:textFill>
                  <w14:solidFill>
                    <w14:schemeClr w14:val="tx1"/>
                  </w14:solidFill>
                </w14:textFill>
              </w:rPr>
              <w:t>产</w:t>
            </w:r>
            <w:r>
              <w:rPr>
                <w:rFonts w:hint="default" w:ascii="Times New Roman" w:hAnsi="Times New Roman" w:cs="Times New Roman"/>
                <w:b/>
                <w:color w:val="000000" w:themeColor="text1"/>
                <w:spacing w:val="-10"/>
                <w:sz w:val="24"/>
                <w:highlight w:val="none"/>
                <w14:textFill>
                  <w14:solidFill>
                    <w14:schemeClr w14:val="tx1"/>
                  </w14:solidFill>
                </w14:textFill>
              </w:rPr>
              <w:t>污环节、污染物种类、排放形式、污染治理设施汇总</w:t>
            </w:r>
          </w:p>
          <w:p w14:paraId="5AC55F0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ascii="Times New Roman" w:hAnsi="Times New Roman" w:eastAsia="宋体"/>
                <w:b/>
                <w:bCs/>
                <w:color w:val="000000" w:themeColor="text1"/>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据以上分析，本项目废水产生及排放情况如下表。</w:t>
            </w:r>
          </w:p>
          <w:p w14:paraId="09028FFC">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0" w:firstLineChars="0"/>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表4-</w:t>
            </w:r>
            <w:r>
              <w:rPr>
                <w:rFonts w:hint="eastAsia" w:ascii="Times New Roman" w:hAnsi="Times New Roman" w:eastAsia="宋体"/>
                <w:b/>
                <w:bCs/>
                <w:color w:val="000000" w:themeColor="text1"/>
                <w:highlight w:val="none"/>
                <w:lang w:val="en-US" w:eastAsia="zh-CN"/>
                <w14:textFill>
                  <w14:solidFill>
                    <w14:schemeClr w14:val="tx1"/>
                  </w14:solidFill>
                </w14:textFill>
              </w:rPr>
              <w:t>7</w:t>
            </w:r>
            <w:r>
              <w:rPr>
                <w:rFonts w:ascii="Times New Roman" w:hAnsi="Times New Roman" w:eastAsia="宋体"/>
                <w:b/>
                <w:bCs/>
                <w:color w:val="000000" w:themeColor="text1"/>
                <w:highlight w:val="none"/>
                <w14:textFill>
                  <w14:solidFill>
                    <w14:schemeClr w14:val="tx1"/>
                  </w14:solidFill>
                </w14:textFill>
              </w:rPr>
              <w:t xml:space="preserve">     废水产生及治理措施</w:t>
            </w:r>
          </w:p>
          <w:tbl>
            <w:tblPr>
              <w:tblStyle w:val="20"/>
              <w:tblW w:w="799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68"/>
              <w:gridCol w:w="1076"/>
              <w:gridCol w:w="781"/>
              <w:gridCol w:w="1534"/>
              <w:gridCol w:w="772"/>
              <w:gridCol w:w="1762"/>
              <w:gridCol w:w="663"/>
              <w:gridCol w:w="740"/>
            </w:tblGrid>
            <w:tr w14:paraId="6908CF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restart"/>
                  <w:tcBorders>
                    <w:tl2br w:val="nil"/>
                    <w:tr2bl w:val="nil"/>
                  </w:tcBorders>
                  <w:vAlign w:val="center"/>
                </w:tcPr>
                <w:p w14:paraId="739F079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产排污环节</w:t>
                  </w:r>
                </w:p>
              </w:tc>
              <w:tc>
                <w:tcPr>
                  <w:tcW w:w="672" w:type="pct"/>
                  <w:vMerge w:val="restart"/>
                  <w:tcBorders>
                    <w:tl2br w:val="nil"/>
                    <w:tr2bl w:val="nil"/>
                  </w:tcBorders>
                  <w:vAlign w:val="center"/>
                </w:tcPr>
                <w:p w14:paraId="5464CBF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类别</w:t>
                  </w:r>
                </w:p>
              </w:tc>
              <w:tc>
                <w:tcPr>
                  <w:tcW w:w="488" w:type="pct"/>
                  <w:vMerge w:val="restart"/>
                  <w:tcBorders>
                    <w:tl2br w:val="nil"/>
                    <w:tr2bl w:val="nil"/>
                  </w:tcBorders>
                  <w:vAlign w:val="center"/>
                </w:tcPr>
                <w:p w14:paraId="357BF0F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污染物种类</w:t>
                  </w:r>
                </w:p>
              </w:tc>
              <w:tc>
                <w:tcPr>
                  <w:tcW w:w="1441" w:type="pct"/>
                  <w:gridSpan w:val="2"/>
                  <w:tcBorders>
                    <w:tl2br w:val="nil"/>
                    <w:tr2bl w:val="nil"/>
                  </w:tcBorders>
                  <w:vAlign w:val="center"/>
                </w:tcPr>
                <w:p w14:paraId="320A76F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污染物产生情况</w:t>
                  </w:r>
                </w:p>
              </w:tc>
              <w:tc>
                <w:tcPr>
                  <w:tcW w:w="1516" w:type="pct"/>
                  <w:gridSpan w:val="2"/>
                  <w:tcBorders>
                    <w:tl2br w:val="nil"/>
                    <w:tr2bl w:val="nil"/>
                  </w:tcBorders>
                  <w:vAlign w:val="center"/>
                </w:tcPr>
                <w:p w14:paraId="02DFC97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治理措施</w:t>
                  </w:r>
                </w:p>
              </w:tc>
              <w:tc>
                <w:tcPr>
                  <w:tcW w:w="462" w:type="pct"/>
                  <w:vMerge w:val="restart"/>
                  <w:tcBorders>
                    <w:tl2br w:val="nil"/>
                    <w:tr2bl w:val="nil"/>
                  </w:tcBorders>
                  <w:vAlign w:val="center"/>
                </w:tcPr>
                <w:p w14:paraId="72C0329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是否为可行</w:t>
                  </w:r>
                </w:p>
                <w:p w14:paraId="75B861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技术</w:t>
                  </w:r>
                </w:p>
              </w:tc>
            </w:tr>
            <w:tr w14:paraId="1FA6F2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0DA27C8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1C4E3B5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vMerge w:val="continue"/>
                  <w:tcBorders>
                    <w:tl2br w:val="nil"/>
                    <w:tr2bl w:val="nil"/>
                  </w:tcBorders>
                  <w:vAlign w:val="center"/>
                </w:tcPr>
                <w:p w14:paraId="29914C8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959" w:type="pct"/>
                  <w:tcBorders>
                    <w:tl2br w:val="nil"/>
                    <w:tr2bl w:val="nil"/>
                  </w:tcBorders>
                  <w:vAlign w:val="center"/>
                </w:tcPr>
                <w:p w14:paraId="4AC85F27">
                  <w:pPr>
                    <w:keepNext w:val="0"/>
                    <w:keepLines w:val="0"/>
                    <w:pageBreakBefore w:val="0"/>
                    <w:widowControl w:val="0"/>
                    <w:kinsoku/>
                    <w:wordWrap w:val="0"/>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产生浓度（mg/L，pH无量纲）</w:t>
                  </w:r>
                </w:p>
              </w:tc>
              <w:tc>
                <w:tcPr>
                  <w:tcW w:w="482" w:type="pct"/>
                  <w:tcBorders>
                    <w:tl2br w:val="nil"/>
                    <w:tr2bl w:val="nil"/>
                  </w:tcBorders>
                  <w:vAlign w:val="center"/>
                </w:tcPr>
                <w:p w14:paraId="444EA94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产生量（t/a）</w:t>
                  </w:r>
                </w:p>
              </w:tc>
              <w:tc>
                <w:tcPr>
                  <w:tcW w:w="1101" w:type="pct"/>
                  <w:tcBorders>
                    <w:tl2br w:val="nil"/>
                    <w:tr2bl w:val="nil"/>
                  </w:tcBorders>
                  <w:vAlign w:val="center"/>
                </w:tcPr>
                <w:p w14:paraId="3C7E9F9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处理能力及工艺</w:t>
                  </w:r>
                </w:p>
              </w:tc>
              <w:tc>
                <w:tcPr>
                  <w:tcW w:w="414" w:type="pct"/>
                  <w:tcBorders>
                    <w:tl2br w:val="nil"/>
                    <w:tr2bl w:val="nil"/>
                  </w:tcBorders>
                  <w:vAlign w:val="center"/>
                </w:tcPr>
                <w:p w14:paraId="19B38EF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处理效率（%）</w:t>
                  </w:r>
                </w:p>
              </w:tc>
              <w:tc>
                <w:tcPr>
                  <w:tcW w:w="462" w:type="pct"/>
                  <w:vMerge w:val="continue"/>
                  <w:tcBorders>
                    <w:tl2br w:val="nil"/>
                    <w:tr2bl w:val="nil"/>
                  </w:tcBorders>
                  <w:vAlign w:val="center"/>
                </w:tcPr>
                <w:p w14:paraId="7C4F104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4726D9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restart"/>
                  <w:tcBorders>
                    <w:tl2br w:val="nil"/>
                    <w:tr2bl w:val="nil"/>
                  </w:tcBorders>
                  <w:vAlign w:val="center"/>
                </w:tcPr>
                <w:p w14:paraId="398B91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生产</w:t>
                  </w:r>
                </w:p>
              </w:tc>
              <w:tc>
                <w:tcPr>
                  <w:tcW w:w="672" w:type="pct"/>
                  <w:tcBorders>
                    <w:tl2br w:val="nil"/>
                    <w:tr2bl w:val="nil"/>
                  </w:tcBorders>
                  <w:vAlign w:val="center"/>
                </w:tcPr>
                <w:p w14:paraId="1B538F7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搅拌机冲洗、地坪冲洗</w:t>
                  </w:r>
                  <w:r>
                    <w:rPr>
                      <w:rFonts w:hint="eastAsia" w:ascii="Times New Roman" w:hAnsi="Times New Roman" w:eastAsia="宋体"/>
                      <w:color w:val="000000" w:themeColor="text1"/>
                      <w:szCs w:val="21"/>
                      <w:highlight w:val="none"/>
                      <w:lang w:eastAsia="zh-CN"/>
                      <w14:textFill>
                        <w14:solidFill>
                          <w14:schemeClr w14:val="tx1"/>
                        </w14:solidFill>
                      </w14:textFill>
                    </w:rPr>
                    <w:t>、洗砂废水等</w:t>
                  </w:r>
                </w:p>
              </w:tc>
              <w:tc>
                <w:tcPr>
                  <w:tcW w:w="488" w:type="pct"/>
                  <w:tcBorders>
                    <w:tl2br w:val="nil"/>
                    <w:tr2bl w:val="nil"/>
                  </w:tcBorders>
                  <w:vAlign w:val="center"/>
                </w:tcPr>
                <w:p w14:paraId="3BDA7CC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w:t>
                  </w:r>
                </w:p>
              </w:tc>
              <w:tc>
                <w:tcPr>
                  <w:tcW w:w="959" w:type="pct"/>
                  <w:tcBorders>
                    <w:tl2br w:val="nil"/>
                    <w:tr2bl w:val="nil"/>
                  </w:tcBorders>
                  <w:vAlign w:val="center"/>
                </w:tcPr>
                <w:p w14:paraId="0679830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1500~2000</w:t>
                  </w:r>
                </w:p>
              </w:tc>
              <w:tc>
                <w:tcPr>
                  <w:tcW w:w="482" w:type="pct"/>
                  <w:tcBorders>
                    <w:tl2br w:val="nil"/>
                    <w:tr2bl w:val="nil"/>
                  </w:tcBorders>
                  <w:vAlign w:val="center"/>
                </w:tcPr>
                <w:p w14:paraId="264BD9A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4025</w:t>
                  </w:r>
                </w:p>
              </w:tc>
              <w:tc>
                <w:tcPr>
                  <w:tcW w:w="1101" w:type="pct"/>
                  <w:tcBorders>
                    <w:tl2br w:val="nil"/>
                    <w:tr2bl w:val="nil"/>
                  </w:tcBorders>
                  <w:vAlign w:val="center"/>
                </w:tcPr>
                <w:p w14:paraId="2D4ABF4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砂石分离机</w:t>
                  </w:r>
                  <w:r>
                    <w:rPr>
                      <w:rFonts w:hint="eastAsia" w:ascii="Times New Roman" w:hAnsi="Times New Roman" w:eastAsia="宋体"/>
                      <w:color w:val="000000" w:themeColor="text1"/>
                      <w:highlight w:val="none"/>
                      <w:lang w:val="en-US" w:eastAsia="zh-CN"/>
                      <w14:textFill>
                        <w14:solidFill>
                          <w14:schemeClr w14:val="tx1"/>
                        </w14:solidFill>
                      </w14:textFill>
                    </w:rPr>
                    <w:t>+</w:t>
                  </w:r>
                  <w:r>
                    <w:rPr>
                      <w:rFonts w:hint="eastAsia" w:ascii="Times New Roman" w:hAnsi="Times New Roman" w:eastAsia="宋体"/>
                      <w:color w:val="000000" w:themeColor="text1"/>
                      <w:highlight w:val="none"/>
                      <w:lang w:eastAsia="zh-CN"/>
                      <w14:textFill>
                        <w14:solidFill>
                          <w14:schemeClr w14:val="tx1"/>
                        </w14:solidFill>
                      </w14:textFill>
                    </w:rPr>
                    <w:t>五级沉淀</w:t>
                  </w:r>
                  <w:r>
                    <w:rPr>
                      <w:rFonts w:hint="eastAsia" w:ascii="Times New Roman" w:hAnsi="Times New Roman" w:eastAsia="宋体"/>
                      <w:color w:val="000000" w:themeColor="text1"/>
                      <w:highlight w:val="none"/>
                      <w14:textFill>
                        <w14:solidFill>
                          <w14:schemeClr w14:val="tx1"/>
                        </w14:solidFill>
                      </w14:textFill>
                    </w:rPr>
                    <w:t>池（</w:t>
                  </w:r>
                  <w:r>
                    <w:rPr>
                      <w:rFonts w:hint="eastAsia" w:ascii="Times New Roman" w:hAnsi="Times New Roman" w:eastAsia="宋体"/>
                      <w:color w:val="000000" w:themeColor="text1"/>
                      <w:highlight w:val="none"/>
                      <w:lang w:val="en-US" w:eastAsia="zh-CN"/>
                      <w14:textFill>
                        <w14:solidFill>
                          <w14:schemeClr w14:val="tx1"/>
                        </w14:solidFill>
                      </w14:textFill>
                    </w:rPr>
                    <w:t>20</w:t>
                  </w:r>
                  <w:r>
                    <w:rPr>
                      <w:rFonts w:hint="eastAsia" w:ascii="Times New Roman" w:hAnsi="Times New Roman" w:eastAsia="宋体"/>
                      <w:color w:val="000000" w:themeColor="text1"/>
                      <w:highlight w:val="none"/>
                      <w14:textFill>
                        <w14:solidFill>
                          <w14:schemeClr w14:val="tx1"/>
                        </w14:solidFill>
                      </w14:textFill>
                    </w:rPr>
                    <w:t>0m</w:t>
                  </w:r>
                  <w:r>
                    <w:rPr>
                      <w:rFonts w:hint="eastAsia" w:ascii="Times New Roman" w:hAnsi="Times New Roman" w:eastAsia="宋体"/>
                      <w:color w:val="000000" w:themeColor="text1"/>
                      <w:highlight w:val="none"/>
                      <w:vertAlign w:val="superscript"/>
                      <w14:textFill>
                        <w14:solidFill>
                          <w14:schemeClr w14:val="tx1"/>
                        </w14:solidFill>
                      </w14:textFill>
                    </w:rPr>
                    <w:t>3</w:t>
                  </w:r>
                  <w:r>
                    <w:rPr>
                      <w:rFonts w:hint="eastAsia" w:ascii="Times New Roman" w:hAnsi="Times New Roman" w:eastAsia="宋体"/>
                      <w:color w:val="000000" w:themeColor="text1"/>
                      <w:highlight w:val="none"/>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+板框压滤机</w:t>
                  </w:r>
                </w:p>
              </w:tc>
              <w:tc>
                <w:tcPr>
                  <w:tcW w:w="414" w:type="pct"/>
                  <w:vMerge w:val="restart"/>
                  <w:tcBorders>
                    <w:tl2br w:val="nil"/>
                    <w:tr2bl w:val="nil"/>
                  </w:tcBorders>
                  <w:vAlign w:val="center"/>
                </w:tcPr>
                <w:p w14:paraId="613AEDD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85</w:t>
                  </w:r>
                  <w:r>
                    <w:rPr>
                      <w:rFonts w:hint="eastAsia" w:ascii="Times New Roman" w:hAnsi="Times New Roman" w:eastAsia="宋体"/>
                      <w:color w:val="000000" w:themeColor="text1"/>
                      <w:highlight w:val="none"/>
                      <w14:textFill>
                        <w14:solidFill>
                          <w14:schemeClr w14:val="tx1"/>
                        </w14:solidFill>
                      </w14:textFill>
                    </w:rPr>
                    <w:t>%</w:t>
                  </w:r>
                </w:p>
              </w:tc>
              <w:tc>
                <w:tcPr>
                  <w:tcW w:w="462" w:type="pct"/>
                  <w:tcBorders>
                    <w:tl2br w:val="nil"/>
                    <w:tr2bl w:val="nil"/>
                  </w:tcBorders>
                  <w:vAlign w:val="center"/>
                </w:tcPr>
                <w:p w14:paraId="4EBF5BE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是</w:t>
                  </w:r>
                </w:p>
              </w:tc>
            </w:tr>
            <w:tr w14:paraId="7AE33A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4AFE75E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14:textFill>
                        <w14:solidFill>
                          <w14:schemeClr w14:val="tx1"/>
                        </w14:solidFill>
                      </w14:textFill>
                    </w:rPr>
                  </w:pPr>
                </w:p>
              </w:tc>
              <w:tc>
                <w:tcPr>
                  <w:tcW w:w="672" w:type="pct"/>
                  <w:tcBorders>
                    <w:tl2br w:val="nil"/>
                    <w:tr2bl w:val="nil"/>
                  </w:tcBorders>
                  <w:vAlign w:val="center"/>
                </w:tcPr>
                <w:p w14:paraId="5727D7A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养护废水</w:t>
                  </w:r>
                </w:p>
              </w:tc>
              <w:tc>
                <w:tcPr>
                  <w:tcW w:w="488" w:type="pct"/>
                  <w:tcBorders>
                    <w:tl2br w:val="nil"/>
                    <w:tr2bl w:val="nil"/>
                  </w:tcBorders>
                  <w:vAlign w:val="center"/>
                </w:tcPr>
                <w:p w14:paraId="24738F5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全盐量、</w:t>
                  </w:r>
                  <w:r>
                    <w:rPr>
                      <w:rFonts w:hint="eastAsia" w:ascii="Times New Roman" w:hAnsi="Times New Roman" w:eastAsia="宋体"/>
                      <w:color w:val="000000" w:themeColor="text1"/>
                      <w:highlight w:val="none"/>
                      <w:lang w:val="en-US" w:eastAsia="zh-CN"/>
                      <w14:textFill>
                        <w14:solidFill>
                          <w14:schemeClr w14:val="tx1"/>
                        </w14:solidFill>
                      </w14:textFill>
                    </w:rPr>
                    <w:t>SS</w:t>
                  </w:r>
                </w:p>
              </w:tc>
              <w:tc>
                <w:tcPr>
                  <w:tcW w:w="959" w:type="pct"/>
                  <w:tcBorders>
                    <w:tl2br w:val="nil"/>
                    <w:tr2bl w:val="nil"/>
                  </w:tcBorders>
                  <w:vAlign w:val="center"/>
                </w:tcPr>
                <w:p w14:paraId="33687FB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全盐量：</w:t>
                  </w:r>
                  <w:r>
                    <w:rPr>
                      <w:rFonts w:hint="eastAsia" w:ascii="Times New Roman" w:hAnsi="Times New Roman" w:eastAsia="宋体"/>
                      <w:color w:val="000000" w:themeColor="text1"/>
                      <w:highlight w:val="none"/>
                      <w:lang w:val="en-US" w:eastAsia="zh-CN"/>
                      <w14:textFill>
                        <w14:solidFill>
                          <w14:schemeClr w14:val="tx1"/>
                        </w14:solidFill>
                      </w14:textFill>
                    </w:rPr>
                    <w:t>1000</w:t>
                  </w:r>
                </w:p>
                <w:p w14:paraId="167895E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w:t>
                  </w:r>
                  <w:r>
                    <w:rPr>
                      <w:rFonts w:hint="eastAsia" w:ascii="Times New Roman" w:hAnsi="Times New Roman" w:eastAsia="宋体"/>
                      <w:color w:val="000000" w:themeColor="text1"/>
                      <w:highlight w:val="none"/>
                      <w:lang w:val="en-US" w:eastAsia="zh-CN"/>
                      <w14:textFill>
                        <w14:solidFill>
                          <w14:schemeClr w14:val="tx1"/>
                        </w14:solidFill>
                      </w14:textFill>
                    </w:rPr>
                    <w:t>50</w:t>
                  </w:r>
                </w:p>
              </w:tc>
              <w:tc>
                <w:tcPr>
                  <w:tcW w:w="482" w:type="pct"/>
                  <w:tcBorders>
                    <w:tl2br w:val="nil"/>
                    <w:tr2bl w:val="nil"/>
                  </w:tcBorders>
                  <w:vAlign w:val="center"/>
                </w:tcPr>
                <w:p w14:paraId="3388422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1025</w:t>
                  </w:r>
                </w:p>
              </w:tc>
              <w:tc>
                <w:tcPr>
                  <w:tcW w:w="1101" w:type="pct"/>
                  <w:tcBorders>
                    <w:tl2br w:val="nil"/>
                    <w:tr2bl w:val="nil"/>
                  </w:tcBorders>
                  <w:vAlign w:val="center"/>
                </w:tcPr>
                <w:p w14:paraId="34883D1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沉淀池（</w:t>
                  </w:r>
                  <w:r>
                    <w:rPr>
                      <w:rFonts w:hint="eastAsia" w:ascii="Times New Roman" w:hAnsi="Times New Roman" w:eastAsia="宋体"/>
                      <w:color w:val="000000" w:themeColor="text1"/>
                      <w:highlight w:val="none"/>
                      <w:lang w:val="en-US" w:eastAsia="zh-CN"/>
                      <w14:textFill>
                        <w14:solidFill>
                          <w14:schemeClr w14:val="tx1"/>
                        </w14:solidFill>
                      </w14:textFill>
                    </w:rPr>
                    <w:t>10</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p>
              </w:tc>
              <w:tc>
                <w:tcPr>
                  <w:tcW w:w="414" w:type="pct"/>
                  <w:vMerge w:val="continue"/>
                  <w:tcBorders>
                    <w:tl2br w:val="nil"/>
                    <w:tr2bl w:val="nil"/>
                  </w:tcBorders>
                  <w:vAlign w:val="center"/>
                </w:tcPr>
                <w:p w14:paraId="1232500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14:textFill>
                        <w14:solidFill>
                          <w14:schemeClr w14:val="tx1"/>
                        </w14:solidFill>
                      </w14:textFill>
                    </w:rPr>
                  </w:pPr>
                </w:p>
              </w:tc>
              <w:tc>
                <w:tcPr>
                  <w:tcW w:w="462" w:type="pct"/>
                  <w:tcBorders>
                    <w:tl2br w:val="nil"/>
                    <w:tr2bl w:val="nil"/>
                  </w:tcBorders>
                  <w:vAlign w:val="center"/>
                </w:tcPr>
                <w:p w14:paraId="3E905D4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是</w:t>
                  </w:r>
                </w:p>
              </w:tc>
            </w:tr>
            <w:tr w14:paraId="756059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720F03C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tcBorders>
                    <w:tl2br w:val="nil"/>
                    <w:tr2bl w:val="nil"/>
                  </w:tcBorders>
                  <w:vAlign w:val="center"/>
                </w:tcPr>
                <w:p w14:paraId="3BCCD23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运输车辆冲洗</w:t>
                  </w:r>
                  <w:r>
                    <w:rPr>
                      <w:rFonts w:hint="eastAsia" w:ascii="Times New Roman" w:hAnsi="Times New Roman" w:eastAsia="宋体"/>
                      <w:color w:val="000000" w:themeColor="text1"/>
                      <w:szCs w:val="21"/>
                      <w:highlight w:val="none"/>
                      <w:lang w:eastAsia="zh-CN"/>
                      <w14:textFill>
                        <w14:solidFill>
                          <w14:schemeClr w14:val="tx1"/>
                        </w14:solidFill>
                      </w14:textFill>
                    </w:rPr>
                    <w:t>废水</w:t>
                  </w:r>
                </w:p>
              </w:tc>
              <w:tc>
                <w:tcPr>
                  <w:tcW w:w="488" w:type="pct"/>
                  <w:tcBorders>
                    <w:tl2br w:val="nil"/>
                    <w:tr2bl w:val="nil"/>
                  </w:tcBorders>
                  <w:vAlign w:val="center"/>
                </w:tcPr>
                <w:p w14:paraId="3A391BA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SS、石油类</w:t>
                  </w:r>
                </w:p>
              </w:tc>
              <w:tc>
                <w:tcPr>
                  <w:tcW w:w="959" w:type="pct"/>
                  <w:tcBorders>
                    <w:tl2br w:val="nil"/>
                    <w:tr2bl w:val="nil"/>
                  </w:tcBorders>
                  <w:vAlign w:val="center"/>
                </w:tcPr>
                <w:p w14:paraId="48DA6DC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SS：1500~2000石油类：30</w:t>
                  </w:r>
                </w:p>
              </w:tc>
              <w:tc>
                <w:tcPr>
                  <w:tcW w:w="482" w:type="pct"/>
                  <w:tcBorders>
                    <w:tl2br w:val="nil"/>
                    <w:tr2bl w:val="nil"/>
                  </w:tcBorders>
                  <w:vAlign w:val="center"/>
                </w:tcPr>
                <w:p w14:paraId="31BF922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1890</w:t>
                  </w:r>
                </w:p>
              </w:tc>
              <w:tc>
                <w:tcPr>
                  <w:tcW w:w="1101" w:type="pct"/>
                  <w:tcBorders>
                    <w:tl2br w:val="nil"/>
                    <w:tr2bl w:val="nil"/>
                  </w:tcBorders>
                  <w:vAlign w:val="center"/>
                </w:tcPr>
                <w:p w14:paraId="0D95761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隔油沉淀池</w:t>
                  </w:r>
                  <w:r>
                    <w:rPr>
                      <w:rFonts w:hint="eastAsia" w:ascii="Times New Roman" w:hAnsi="Times New Roman" w:eastAsia="宋体"/>
                      <w:color w:val="000000" w:themeColor="text1"/>
                      <w:highlight w:val="none"/>
                      <w:lang w:eastAsia="zh-CN"/>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6</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p>
              </w:tc>
              <w:tc>
                <w:tcPr>
                  <w:tcW w:w="414" w:type="pct"/>
                  <w:vMerge w:val="continue"/>
                  <w:tcBorders>
                    <w:tl2br w:val="nil"/>
                    <w:tr2bl w:val="nil"/>
                  </w:tcBorders>
                  <w:vAlign w:val="center"/>
                </w:tcPr>
                <w:p w14:paraId="0800FB4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62" w:type="pct"/>
                  <w:tcBorders>
                    <w:tl2br w:val="nil"/>
                    <w:tr2bl w:val="nil"/>
                  </w:tcBorders>
                  <w:vAlign w:val="center"/>
                </w:tcPr>
                <w:p w14:paraId="4E8053C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是</w:t>
                  </w:r>
                </w:p>
              </w:tc>
            </w:tr>
            <w:tr w14:paraId="2584E6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tcBorders>
                    <w:tl2br w:val="nil"/>
                    <w:tr2bl w:val="nil"/>
                  </w:tcBorders>
                  <w:vAlign w:val="center"/>
                </w:tcPr>
                <w:p w14:paraId="5990333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雨水</w:t>
                  </w:r>
                </w:p>
              </w:tc>
              <w:tc>
                <w:tcPr>
                  <w:tcW w:w="672" w:type="pct"/>
                  <w:tcBorders>
                    <w:tl2br w:val="nil"/>
                    <w:tr2bl w:val="nil"/>
                  </w:tcBorders>
                  <w:vAlign w:val="center"/>
                </w:tcPr>
                <w:p w14:paraId="2EB596D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w:t>
                  </w:r>
                </w:p>
              </w:tc>
              <w:tc>
                <w:tcPr>
                  <w:tcW w:w="488" w:type="pct"/>
                  <w:tcBorders>
                    <w:tl2br w:val="nil"/>
                    <w:tr2bl w:val="nil"/>
                  </w:tcBorders>
                  <w:vAlign w:val="center"/>
                </w:tcPr>
                <w:p w14:paraId="44B5421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w:t>
                  </w:r>
                </w:p>
              </w:tc>
              <w:tc>
                <w:tcPr>
                  <w:tcW w:w="959" w:type="pct"/>
                  <w:tcBorders>
                    <w:tl2br w:val="nil"/>
                    <w:tr2bl w:val="nil"/>
                  </w:tcBorders>
                  <w:vAlign w:val="center"/>
                </w:tcPr>
                <w:p w14:paraId="3AE529A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500~700</w:t>
                  </w:r>
                </w:p>
              </w:tc>
              <w:tc>
                <w:tcPr>
                  <w:tcW w:w="482" w:type="pct"/>
                  <w:tcBorders>
                    <w:tl2br w:val="nil"/>
                    <w:tr2bl w:val="nil"/>
                  </w:tcBorders>
                  <w:vAlign w:val="center"/>
                </w:tcPr>
                <w:p w14:paraId="4B76256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w:t>
                  </w:r>
                </w:p>
              </w:tc>
              <w:tc>
                <w:tcPr>
                  <w:tcW w:w="1101" w:type="pct"/>
                  <w:tcBorders>
                    <w:tl2br w:val="nil"/>
                    <w:tr2bl w:val="nil"/>
                  </w:tcBorders>
                  <w:vAlign w:val="center"/>
                </w:tcPr>
                <w:p w14:paraId="7C5FE16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雨水收集</w:t>
                  </w:r>
                  <w:r>
                    <w:rPr>
                      <w:rFonts w:hint="eastAsia" w:ascii="Times New Roman" w:hAnsi="Times New Roman" w:eastAsia="宋体"/>
                      <w:color w:val="000000" w:themeColor="text1"/>
                      <w:highlight w:val="none"/>
                      <w14:textFill>
                        <w14:solidFill>
                          <w14:schemeClr w14:val="tx1"/>
                        </w14:solidFill>
                      </w14:textFill>
                    </w:rPr>
                    <w:t>池</w:t>
                  </w:r>
                  <w:r>
                    <w:rPr>
                      <w:rFonts w:hint="eastAsia" w:ascii="Times New Roman" w:hAnsi="Times New Roman" w:eastAsia="宋体"/>
                      <w:color w:val="000000" w:themeColor="text1"/>
                      <w:highlight w:val="none"/>
                      <w:lang w:eastAsia="zh-CN"/>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200</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p>
              </w:tc>
              <w:tc>
                <w:tcPr>
                  <w:tcW w:w="414" w:type="pct"/>
                  <w:tcBorders>
                    <w:tl2br w:val="nil"/>
                    <w:tr2bl w:val="nil"/>
                  </w:tcBorders>
                  <w:vAlign w:val="center"/>
                </w:tcPr>
                <w:p w14:paraId="0AADA5F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80%</w:t>
                  </w:r>
                </w:p>
              </w:tc>
              <w:tc>
                <w:tcPr>
                  <w:tcW w:w="462" w:type="pct"/>
                  <w:tcBorders>
                    <w:tl2br w:val="nil"/>
                    <w:tr2bl w:val="nil"/>
                  </w:tcBorders>
                  <w:vAlign w:val="center"/>
                </w:tcPr>
                <w:p w14:paraId="49B1F7B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是</w:t>
                  </w:r>
                </w:p>
              </w:tc>
            </w:tr>
            <w:tr w14:paraId="5E0BA6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restart"/>
                  <w:tcBorders>
                    <w:tl2br w:val="nil"/>
                    <w:tr2bl w:val="nil"/>
                  </w:tcBorders>
                  <w:vAlign w:val="center"/>
                </w:tcPr>
                <w:p w14:paraId="4BA9664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办公、生活</w:t>
                  </w:r>
                </w:p>
              </w:tc>
              <w:tc>
                <w:tcPr>
                  <w:tcW w:w="672" w:type="pct"/>
                  <w:vMerge w:val="restart"/>
                  <w:tcBorders>
                    <w:tl2br w:val="nil"/>
                    <w:tr2bl w:val="nil"/>
                  </w:tcBorders>
                  <w:vAlign w:val="center"/>
                </w:tcPr>
                <w:p w14:paraId="6F0CB7B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生活污水</w:t>
                  </w:r>
                </w:p>
              </w:tc>
              <w:tc>
                <w:tcPr>
                  <w:tcW w:w="488" w:type="pct"/>
                  <w:tcBorders>
                    <w:tl2br w:val="nil"/>
                    <w:tr2bl w:val="nil"/>
                  </w:tcBorders>
                  <w:vAlign w:val="center"/>
                </w:tcPr>
                <w:p w14:paraId="1A7E113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pH</w:t>
                  </w:r>
                </w:p>
              </w:tc>
              <w:tc>
                <w:tcPr>
                  <w:tcW w:w="959" w:type="pct"/>
                  <w:tcBorders>
                    <w:tl2br w:val="nil"/>
                    <w:tr2bl w:val="nil"/>
                  </w:tcBorders>
                  <w:vAlign w:val="center"/>
                </w:tcPr>
                <w:p w14:paraId="5DE9060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6~9</w:t>
                  </w:r>
                </w:p>
              </w:tc>
              <w:tc>
                <w:tcPr>
                  <w:tcW w:w="482" w:type="pct"/>
                  <w:tcBorders>
                    <w:tl2br w:val="nil"/>
                    <w:tr2bl w:val="nil"/>
                  </w:tcBorders>
                  <w:vAlign w:val="center"/>
                </w:tcPr>
                <w:p w14:paraId="5268CEE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w:t>
                  </w:r>
                </w:p>
              </w:tc>
              <w:tc>
                <w:tcPr>
                  <w:tcW w:w="1101" w:type="pct"/>
                  <w:vMerge w:val="restart"/>
                  <w:tcBorders>
                    <w:tl2br w:val="nil"/>
                    <w:tr2bl w:val="nil"/>
                  </w:tcBorders>
                  <w:vAlign w:val="center"/>
                </w:tcPr>
                <w:p w14:paraId="2FFBE82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化粪池</w:t>
                  </w:r>
                  <w:r>
                    <w:rPr>
                      <w:rFonts w:hint="eastAsia" w:ascii="Times New Roman" w:hAnsi="Times New Roman" w:eastAsia="宋体"/>
                      <w:color w:val="000000" w:themeColor="text1"/>
                      <w:highlight w:val="none"/>
                      <w:lang w:eastAsia="zh-CN"/>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30</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r>
                    <w:rPr>
                      <w:rFonts w:ascii="Times New Roman" w:hAnsi="Times New Roman" w:eastAsia="宋体"/>
                      <w:color w:val="000000" w:themeColor="text1"/>
                      <w:highlight w:val="none"/>
                      <w14:textFill>
                        <w14:solidFill>
                          <w14:schemeClr w14:val="tx1"/>
                        </w14:solidFill>
                      </w14:textFill>
                    </w:rPr>
                    <w:t>处理</w:t>
                  </w:r>
                  <w:r>
                    <w:rPr>
                      <w:rFonts w:hint="eastAsia" w:ascii="Times New Roman" w:hAnsi="Times New Roman" w:eastAsia="宋体"/>
                      <w:color w:val="000000" w:themeColor="text1"/>
                      <w:highlight w:val="none"/>
                      <w:lang w:eastAsia="zh-CN"/>
                      <w14:textFill>
                        <w14:solidFill>
                          <w14:schemeClr w14:val="tx1"/>
                        </w14:solidFill>
                      </w14:textFill>
                    </w:rPr>
                    <w:t>后由吸污车拉运至宝梵污水处理厂</w:t>
                  </w:r>
                </w:p>
              </w:tc>
              <w:tc>
                <w:tcPr>
                  <w:tcW w:w="414" w:type="pct"/>
                  <w:tcBorders>
                    <w:tl2br w:val="nil"/>
                    <w:tr2bl w:val="nil"/>
                  </w:tcBorders>
                  <w:vAlign w:val="center"/>
                </w:tcPr>
                <w:p w14:paraId="4163F79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w:t>
                  </w:r>
                </w:p>
              </w:tc>
              <w:tc>
                <w:tcPr>
                  <w:tcW w:w="462" w:type="pct"/>
                  <w:vMerge w:val="restart"/>
                  <w:tcBorders>
                    <w:tl2br w:val="nil"/>
                    <w:tr2bl w:val="nil"/>
                  </w:tcBorders>
                  <w:vAlign w:val="center"/>
                </w:tcPr>
                <w:p w14:paraId="1ADFC95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是</w:t>
                  </w:r>
                </w:p>
              </w:tc>
            </w:tr>
            <w:tr w14:paraId="6C149F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384F6E1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4713966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5190773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COD</w:t>
                  </w:r>
                </w:p>
              </w:tc>
              <w:tc>
                <w:tcPr>
                  <w:tcW w:w="959" w:type="pct"/>
                  <w:tcBorders>
                    <w:tl2br w:val="nil"/>
                    <w:tr2bl w:val="nil"/>
                  </w:tcBorders>
                  <w:vAlign w:val="center"/>
                </w:tcPr>
                <w:p w14:paraId="4EF8178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550</w:t>
                  </w:r>
                </w:p>
              </w:tc>
              <w:tc>
                <w:tcPr>
                  <w:tcW w:w="482" w:type="pct"/>
                  <w:tcBorders>
                    <w:tl2br w:val="nil"/>
                    <w:tr2bl w:val="nil"/>
                  </w:tcBorders>
                  <w:vAlign w:val="center"/>
                </w:tcPr>
                <w:p w14:paraId="474CE2B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1.0395</w:t>
                  </w:r>
                </w:p>
              </w:tc>
              <w:tc>
                <w:tcPr>
                  <w:tcW w:w="1101" w:type="pct"/>
                  <w:vMerge w:val="continue"/>
                  <w:tcBorders>
                    <w:tl2br w:val="nil"/>
                    <w:tr2bl w:val="nil"/>
                  </w:tcBorders>
                  <w:vAlign w:val="center"/>
                </w:tcPr>
                <w:p w14:paraId="3562E03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38EF95F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66%</w:t>
                  </w:r>
                </w:p>
              </w:tc>
              <w:tc>
                <w:tcPr>
                  <w:tcW w:w="462" w:type="pct"/>
                  <w:vMerge w:val="continue"/>
                  <w:tcBorders>
                    <w:tl2br w:val="nil"/>
                    <w:tr2bl w:val="nil"/>
                  </w:tcBorders>
                  <w:vAlign w:val="center"/>
                </w:tcPr>
                <w:p w14:paraId="428F0C6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3BF1DA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2B422EF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27709D1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7867F8F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BOD</w:t>
                  </w:r>
                  <w:r>
                    <w:rPr>
                      <w:rFonts w:ascii="Times New Roman" w:hAnsi="Times New Roman" w:eastAsia="宋体"/>
                      <w:color w:val="000000" w:themeColor="text1"/>
                      <w:highlight w:val="none"/>
                      <w:vertAlign w:val="subscript"/>
                      <w14:textFill>
                        <w14:solidFill>
                          <w14:schemeClr w14:val="tx1"/>
                        </w14:solidFill>
                      </w14:textFill>
                    </w:rPr>
                    <w:t>5</w:t>
                  </w:r>
                </w:p>
              </w:tc>
              <w:tc>
                <w:tcPr>
                  <w:tcW w:w="959" w:type="pct"/>
                  <w:tcBorders>
                    <w:tl2br w:val="nil"/>
                    <w:tr2bl w:val="nil"/>
                  </w:tcBorders>
                  <w:vAlign w:val="center"/>
                </w:tcPr>
                <w:p w14:paraId="60F4A1A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350</w:t>
                  </w:r>
                </w:p>
              </w:tc>
              <w:tc>
                <w:tcPr>
                  <w:tcW w:w="482" w:type="pct"/>
                  <w:tcBorders>
                    <w:tl2br w:val="nil"/>
                    <w:tr2bl w:val="nil"/>
                  </w:tcBorders>
                  <w:vAlign w:val="center"/>
                </w:tcPr>
                <w:p w14:paraId="321235D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0.6615</w:t>
                  </w:r>
                </w:p>
              </w:tc>
              <w:tc>
                <w:tcPr>
                  <w:tcW w:w="1101" w:type="pct"/>
                  <w:vMerge w:val="continue"/>
                  <w:tcBorders>
                    <w:tl2br w:val="nil"/>
                    <w:tr2bl w:val="nil"/>
                  </w:tcBorders>
                  <w:vAlign w:val="center"/>
                </w:tcPr>
                <w:p w14:paraId="634D380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26BD5C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60%</w:t>
                  </w:r>
                </w:p>
              </w:tc>
              <w:tc>
                <w:tcPr>
                  <w:tcW w:w="462" w:type="pct"/>
                  <w:vMerge w:val="continue"/>
                  <w:tcBorders>
                    <w:tl2br w:val="nil"/>
                    <w:tr2bl w:val="nil"/>
                  </w:tcBorders>
                  <w:vAlign w:val="center"/>
                </w:tcPr>
                <w:p w14:paraId="3C75E48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1AC9E3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032F65C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44E7C0E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6520CFD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SS</w:t>
                  </w:r>
                </w:p>
              </w:tc>
              <w:tc>
                <w:tcPr>
                  <w:tcW w:w="959" w:type="pct"/>
                  <w:tcBorders>
                    <w:tl2br w:val="nil"/>
                    <w:tr2bl w:val="nil"/>
                  </w:tcBorders>
                  <w:vAlign w:val="center"/>
                </w:tcPr>
                <w:p w14:paraId="25914E2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500</w:t>
                  </w:r>
                </w:p>
              </w:tc>
              <w:tc>
                <w:tcPr>
                  <w:tcW w:w="482" w:type="pct"/>
                  <w:tcBorders>
                    <w:tl2br w:val="nil"/>
                    <w:tr2bl w:val="nil"/>
                  </w:tcBorders>
                  <w:vAlign w:val="center"/>
                </w:tcPr>
                <w:p w14:paraId="11539E9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0.945</w:t>
                  </w:r>
                </w:p>
              </w:tc>
              <w:tc>
                <w:tcPr>
                  <w:tcW w:w="1101" w:type="pct"/>
                  <w:vMerge w:val="continue"/>
                  <w:tcBorders>
                    <w:tl2br w:val="nil"/>
                    <w:tr2bl w:val="nil"/>
                  </w:tcBorders>
                  <w:vAlign w:val="center"/>
                </w:tcPr>
                <w:p w14:paraId="0ECBABC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20E2E6C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85%</w:t>
                  </w:r>
                </w:p>
              </w:tc>
              <w:tc>
                <w:tcPr>
                  <w:tcW w:w="462" w:type="pct"/>
                  <w:vMerge w:val="continue"/>
                  <w:tcBorders>
                    <w:tl2br w:val="nil"/>
                    <w:tr2bl w:val="nil"/>
                  </w:tcBorders>
                  <w:vAlign w:val="center"/>
                </w:tcPr>
                <w:p w14:paraId="469C86A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015560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1840BB0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61E9E71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06D0290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氨氮</w:t>
                  </w:r>
                </w:p>
              </w:tc>
              <w:tc>
                <w:tcPr>
                  <w:tcW w:w="959" w:type="pct"/>
                  <w:tcBorders>
                    <w:tl2br w:val="nil"/>
                    <w:tr2bl w:val="nil"/>
                  </w:tcBorders>
                  <w:vAlign w:val="center"/>
                </w:tcPr>
                <w:p w14:paraId="5CE10B5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45</w:t>
                  </w:r>
                </w:p>
              </w:tc>
              <w:tc>
                <w:tcPr>
                  <w:tcW w:w="482" w:type="pct"/>
                  <w:tcBorders>
                    <w:tl2br w:val="nil"/>
                    <w:tr2bl w:val="nil"/>
                  </w:tcBorders>
                  <w:vAlign w:val="center"/>
                </w:tcPr>
                <w:p w14:paraId="3B43FF9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0.0851</w:t>
                  </w:r>
                </w:p>
              </w:tc>
              <w:tc>
                <w:tcPr>
                  <w:tcW w:w="1101" w:type="pct"/>
                  <w:vMerge w:val="continue"/>
                  <w:tcBorders>
                    <w:tl2br w:val="nil"/>
                    <w:tr2bl w:val="nil"/>
                  </w:tcBorders>
                  <w:vAlign w:val="center"/>
                </w:tcPr>
                <w:p w14:paraId="4B2DE36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5C3A7F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54%</w:t>
                  </w:r>
                </w:p>
              </w:tc>
              <w:tc>
                <w:tcPr>
                  <w:tcW w:w="462" w:type="pct"/>
                  <w:vMerge w:val="continue"/>
                  <w:tcBorders>
                    <w:tl2br w:val="nil"/>
                    <w:tr2bl w:val="nil"/>
                  </w:tcBorders>
                  <w:vAlign w:val="center"/>
                </w:tcPr>
                <w:p w14:paraId="2397FE6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1028A8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7" w:type="pct"/>
                  <w:vMerge w:val="continue"/>
                  <w:tcBorders>
                    <w:tl2br w:val="nil"/>
                    <w:tr2bl w:val="nil"/>
                  </w:tcBorders>
                  <w:vAlign w:val="center"/>
                </w:tcPr>
                <w:p w14:paraId="0BDA0D8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3D150FD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030302C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TP</w:t>
                  </w:r>
                </w:p>
              </w:tc>
              <w:tc>
                <w:tcPr>
                  <w:tcW w:w="959" w:type="pct"/>
                  <w:tcBorders>
                    <w:tl2br w:val="nil"/>
                    <w:tr2bl w:val="nil"/>
                  </w:tcBorders>
                  <w:vAlign w:val="center"/>
                </w:tcPr>
                <w:p w14:paraId="71239DC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8</w:t>
                  </w:r>
                </w:p>
              </w:tc>
              <w:tc>
                <w:tcPr>
                  <w:tcW w:w="482" w:type="pct"/>
                  <w:tcBorders>
                    <w:tl2br w:val="nil"/>
                    <w:tr2bl w:val="nil"/>
                  </w:tcBorders>
                  <w:vAlign w:val="center"/>
                </w:tcPr>
                <w:p w14:paraId="5703598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0.0151</w:t>
                  </w:r>
                </w:p>
              </w:tc>
              <w:tc>
                <w:tcPr>
                  <w:tcW w:w="1101" w:type="pct"/>
                  <w:vMerge w:val="continue"/>
                  <w:tcBorders>
                    <w:tl2br w:val="nil"/>
                    <w:tr2bl w:val="nil"/>
                  </w:tcBorders>
                  <w:vAlign w:val="center"/>
                </w:tcPr>
                <w:p w14:paraId="7A82AD6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1C7CE99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64%</w:t>
                  </w:r>
                </w:p>
              </w:tc>
              <w:tc>
                <w:tcPr>
                  <w:tcW w:w="462" w:type="pct"/>
                  <w:vMerge w:val="continue"/>
                  <w:tcBorders>
                    <w:tl2br w:val="nil"/>
                    <w:tr2bl w:val="nil"/>
                  </w:tcBorders>
                  <w:vAlign w:val="center"/>
                </w:tcPr>
                <w:p w14:paraId="5B0BDD7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bl>
          <w:p w14:paraId="115D82B2">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ascii="Times New Roman" w:hAnsi="Times New Roman" w:eastAsia="宋体"/>
                <w:b/>
                <w:bCs/>
                <w:color w:val="000000" w:themeColor="text1"/>
                <w:szCs w:val="21"/>
                <w:highlight w:val="none"/>
                <w14:textFill>
                  <w14:solidFill>
                    <w14:schemeClr w14:val="tx1"/>
                  </w14:solidFill>
                </w14:textFill>
              </w:rPr>
            </w:pPr>
            <w:r>
              <w:rPr>
                <w:color w:val="000000" w:themeColor="text1"/>
                <w:sz w:val="24"/>
                <w:szCs w:val="24"/>
                <w:highlight w:val="none"/>
                <w14:textFill>
                  <w14:solidFill>
                    <w14:schemeClr w14:val="tx1"/>
                  </w14:solidFill>
                </w14:textFill>
              </w:rPr>
              <w:t>废水污染物排放情况见表4-</w:t>
            </w:r>
            <w:r>
              <w:rPr>
                <w:rFonts w:hint="eastAsia"/>
                <w:color w:val="000000" w:themeColor="text1"/>
                <w:sz w:val="24"/>
                <w:szCs w:val="24"/>
                <w:highlight w:val="none"/>
                <w:lang w:val="en-US" w:eastAsia="zh-CN"/>
                <w14:textFill>
                  <w14:solidFill>
                    <w14:schemeClr w14:val="tx1"/>
                  </w14:solidFill>
                </w14:textFill>
              </w:rPr>
              <w:t>8</w:t>
            </w:r>
            <w:r>
              <w:rPr>
                <w:color w:val="000000" w:themeColor="text1"/>
                <w:sz w:val="24"/>
                <w:szCs w:val="24"/>
                <w:highlight w:val="none"/>
                <w14:textFill>
                  <w14:solidFill>
                    <w14:schemeClr w14:val="tx1"/>
                  </w14:solidFill>
                </w14:textFill>
              </w:rPr>
              <w:t>。</w:t>
            </w:r>
          </w:p>
          <w:p w14:paraId="1BAE4DE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表4-</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8</w:t>
            </w:r>
            <w:r>
              <w:rPr>
                <w:rFonts w:ascii="Times New Roman" w:hAnsi="Times New Roman" w:eastAsia="宋体"/>
                <w:b/>
                <w:bCs/>
                <w:color w:val="000000" w:themeColor="text1"/>
                <w:szCs w:val="21"/>
                <w:highlight w:val="none"/>
                <w14:textFill>
                  <w14:solidFill>
                    <w14:schemeClr w14:val="tx1"/>
                  </w14:solidFill>
                </w14:textFill>
              </w:rPr>
              <w:t xml:space="preserve">    废水排放情况</w:t>
            </w:r>
          </w:p>
          <w:tbl>
            <w:tblPr>
              <w:tblStyle w:val="20"/>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50"/>
              <w:gridCol w:w="682"/>
              <w:gridCol w:w="900"/>
              <w:gridCol w:w="1077"/>
              <w:gridCol w:w="1273"/>
              <w:gridCol w:w="619"/>
              <w:gridCol w:w="1002"/>
              <w:gridCol w:w="665"/>
              <w:gridCol w:w="868"/>
            </w:tblGrid>
            <w:tr w14:paraId="256F42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tcBorders>
                    <w:tl2br w:val="nil"/>
                    <w:tr2bl w:val="nil"/>
                  </w:tcBorders>
                  <w:vAlign w:val="center"/>
                </w:tcPr>
                <w:p w14:paraId="7109BD3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废水量</w:t>
                  </w:r>
                </w:p>
              </w:tc>
              <w:tc>
                <w:tcPr>
                  <w:tcW w:w="429" w:type="pct"/>
                  <w:tcBorders>
                    <w:tl2br w:val="nil"/>
                    <w:tr2bl w:val="nil"/>
                  </w:tcBorders>
                  <w:vAlign w:val="center"/>
                </w:tcPr>
                <w:p w14:paraId="78E7A77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类别</w:t>
                  </w:r>
                </w:p>
              </w:tc>
              <w:tc>
                <w:tcPr>
                  <w:tcW w:w="567" w:type="pct"/>
                  <w:tcBorders>
                    <w:tl2br w:val="nil"/>
                    <w:tr2bl w:val="nil"/>
                  </w:tcBorders>
                  <w:vAlign w:val="center"/>
                </w:tcPr>
                <w:p w14:paraId="63AF999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污染物</w:t>
                  </w:r>
                </w:p>
                <w:p w14:paraId="6BD9B1C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种类</w:t>
                  </w:r>
                </w:p>
              </w:tc>
              <w:tc>
                <w:tcPr>
                  <w:tcW w:w="678" w:type="pct"/>
                  <w:tcBorders>
                    <w:tl2br w:val="nil"/>
                    <w:tr2bl w:val="nil"/>
                  </w:tcBorders>
                  <w:vAlign w:val="center"/>
                </w:tcPr>
                <w:p w14:paraId="6980107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排放浓度（mg/L）</w:t>
                  </w:r>
                </w:p>
              </w:tc>
              <w:tc>
                <w:tcPr>
                  <w:tcW w:w="802" w:type="pct"/>
                  <w:tcBorders>
                    <w:tl2br w:val="nil"/>
                    <w:tr2bl w:val="nil"/>
                  </w:tcBorders>
                  <w:vAlign w:val="center"/>
                </w:tcPr>
                <w:p w14:paraId="1F803EB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污染物排放量（t/a）</w:t>
                  </w:r>
                </w:p>
              </w:tc>
              <w:tc>
                <w:tcPr>
                  <w:tcW w:w="389" w:type="pct"/>
                  <w:tcBorders>
                    <w:tl2br w:val="nil"/>
                    <w:tr2bl w:val="nil"/>
                  </w:tcBorders>
                  <w:vAlign w:val="center"/>
                </w:tcPr>
                <w:p w14:paraId="190F6FC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排放方式</w:t>
                  </w:r>
                </w:p>
              </w:tc>
              <w:tc>
                <w:tcPr>
                  <w:tcW w:w="631" w:type="pct"/>
                  <w:tcBorders>
                    <w:tl2br w:val="nil"/>
                    <w:tr2bl w:val="nil"/>
                  </w:tcBorders>
                  <w:vAlign w:val="center"/>
                </w:tcPr>
                <w:p w14:paraId="4698999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排放去向</w:t>
                  </w:r>
                </w:p>
              </w:tc>
              <w:tc>
                <w:tcPr>
                  <w:tcW w:w="418" w:type="pct"/>
                  <w:tcBorders>
                    <w:tl2br w:val="nil"/>
                    <w:tr2bl w:val="nil"/>
                  </w:tcBorders>
                  <w:vAlign w:val="center"/>
                </w:tcPr>
                <w:p w14:paraId="28CB877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w:t>
                  </w:r>
                </w:p>
                <w:p w14:paraId="04743B0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规律</w:t>
                  </w:r>
                </w:p>
              </w:tc>
              <w:tc>
                <w:tcPr>
                  <w:tcW w:w="546" w:type="pct"/>
                  <w:tcBorders>
                    <w:tl2br w:val="nil"/>
                    <w:tr2bl w:val="nil"/>
                  </w:tcBorders>
                  <w:vAlign w:val="center"/>
                </w:tcPr>
                <w:p w14:paraId="4161190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排放标准</w:t>
                  </w:r>
                </w:p>
              </w:tc>
            </w:tr>
            <w:tr w14:paraId="75F9F9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vMerge w:val="restart"/>
                  <w:tcBorders>
                    <w:tl2br w:val="nil"/>
                    <w:tr2bl w:val="nil"/>
                  </w:tcBorders>
                  <w:vAlign w:val="center"/>
                </w:tcPr>
                <w:p w14:paraId="31BBD8D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5.4</w:t>
                  </w:r>
                  <w:r>
                    <w:rPr>
                      <w:rFonts w:hint="eastAsia" w:ascii="Times New Roman" w:hAnsi="Times New Roman" w:eastAsia="宋体"/>
                      <w:color w:val="000000" w:themeColor="text1"/>
                      <w:szCs w:val="21"/>
                      <w:highlight w:val="none"/>
                      <w14:textFill>
                        <w14:solidFill>
                          <w14:schemeClr w14:val="tx1"/>
                        </w14:solidFill>
                      </w14:textFill>
                    </w:rPr>
                    <w:t>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/d</w:t>
                  </w:r>
                </w:p>
                <w:p w14:paraId="16428E5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1890</w:t>
                  </w:r>
                  <w:r>
                    <w:rPr>
                      <w:rFonts w:hint="eastAsia" w:ascii="Times New Roman" w:hAnsi="Times New Roman" w:eastAsia="宋体"/>
                      <w:color w:val="000000" w:themeColor="text1"/>
                      <w:szCs w:val="21"/>
                      <w:highlight w:val="none"/>
                      <w14:textFill>
                        <w14:solidFill>
                          <w14:schemeClr w14:val="tx1"/>
                        </w14:solidFill>
                      </w14:textFill>
                    </w:rPr>
                    <w:t>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/a</w:t>
                  </w:r>
                </w:p>
              </w:tc>
              <w:tc>
                <w:tcPr>
                  <w:tcW w:w="429" w:type="pct"/>
                  <w:vMerge w:val="restart"/>
                  <w:tcBorders>
                    <w:tl2br w:val="nil"/>
                    <w:tr2bl w:val="nil"/>
                  </w:tcBorders>
                  <w:vAlign w:val="center"/>
                </w:tcPr>
                <w:p w14:paraId="7139503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w:t>
                  </w:r>
                </w:p>
                <w:p w14:paraId="3C499F9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污水</w:t>
                  </w:r>
                </w:p>
              </w:tc>
              <w:tc>
                <w:tcPr>
                  <w:tcW w:w="567" w:type="pct"/>
                  <w:tcBorders>
                    <w:tl2br w:val="nil"/>
                    <w:tr2bl w:val="nil"/>
                  </w:tcBorders>
                  <w:vAlign w:val="center"/>
                </w:tcPr>
                <w:p w14:paraId="20DD5D3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pH</w:t>
                  </w:r>
                </w:p>
              </w:tc>
              <w:tc>
                <w:tcPr>
                  <w:tcW w:w="678" w:type="pct"/>
                  <w:tcBorders>
                    <w:tl2br w:val="nil"/>
                    <w:tr2bl w:val="nil"/>
                  </w:tcBorders>
                  <w:vAlign w:val="center"/>
                </w:tcPr>
                <w:p w14:paraId="7B8FF26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6~9</w:t>
                  </w:r>
                </w:p>
              </w:tc>
              <w:tc>
                <w:tcPr>
                  <w:tcW w:w="802" w:type="pct"/>
                  <w:tcBorders>
                    <w:tl2br w:val="nil"/>
                    <w:tr2bl w:val="nil"/>
                  </w:tcBorders>
                  <w:vAlign w:val="center"/>
                </w:tcPr>
                <w:p w14:paraId="7CB944E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389" w:type="pct"/>
                  <w:vMerge w:val="restart"/>
                  <w:tcBorders>
                    <w:tl2br w:val="nil"/>
                    <w:tr2bl w:val="nil"/>
                  </w:tcBorders>
                  <w:vAlign w:val="center"/>
                </w:tcPr>
                <w:p w14:paraId="24999D9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间接排放</w:t>
                  </w:r>
                </w:p>
              </w:tc>
              <w:tc>
                <w:tcPr>
                  <w:tcW w:w="631" w:type="pct"/>
                  <w:vMerge w:val="restart"/>
                  <w:tcBorders>
                    <w:tl2br w:val="nil"/>
                    <w:tr2bl w:val="nil"/>
                  </w:tcBorders>
                  <w:vAlign w:val="center"/>
                </w:tcPr>
                <w:p w14:paraId="201AAA9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吸污车拉运至宝梵污水处理厂</w:t>
                  </w:r>
                </w:p>
              </w:tc>
              <w:tc>
                <w:tcPr>
                  <w:tcW w:w="418" w:type="pct"/>
                  <w:vMerge w:val="restart"/>
                  <w:tcBorders>
                    <w:tl2br w:val="nil"/>
                    <w:tr2bl w:val="nil"/>
                  </w:tcBorders>
                  <w:vAlign w:val="center"/>
                </w:tcPr>
                <w:p w14:paraId="7F010AF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间接</w:t>
                  </w:r>
                </w:p>
                <w:p w14:paraId="7F771D0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排放</w:t>
                  </w:r>
                </w:p>
              </w:tc>
              <w:tc>
                <w:tcPr>
                  <w:tcW w:w="546" w:type="pct"/>
                  <w:vMerge w:val="restart"/>
                  <w:tcBorders>
                    <w:tl2br w:val="nil"/>
                    <w:tr2bl w:val="nil"/>
                  </w:tcBorders>
                  <w:vAlign w:val="center"/>
                </w:tcPr>
                <w:p w14:paraId="574DD057">
                  <w:pPr>
                    <w:keepNext w:val="0"/>
                    <w:keepLines w:val="0"/>
                    <w:pageBreakBefore w:val="0"/>
                    <w:widowControl w:val="0"/>
                    <w:kinsoku/>
                    <w:wordWrap w:val="0"/>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《污水综合排放标准》（</w:t>
                  </w:r>
                  <w:r>
                    <w:rPr>
                      <w:rFonts w:hint="eastAsia" w:ascii="Times New Roman" w:hAnsi="Times New Roman" w:eastAsia="宋体"/>
                      <w:color w:val="000000" w:themeColor="text1"/>
                      <w:szCs w:val="21"/>
                      <w:highlight w:val="none"/>
                      <w:lang w:val="en-US" w:eastAsia="zh-CN"/>
                      <w14:textFill>
                        <w14:solidFill>
                          <w14:schemeClr w14:val="tx1"/>
                        </w14:solidFill>
                      </w14:textFill>
                    </w:rPr>
                    <w:t>GB8978-1996</w:t>
                  </w:r>
                  <w:r>
                    <w:rPr>
                      <w:rFonts w:hint="eastAsia" w:ascii="Times New Roman" w:hAnsi="Times New Roman" w:eastAsia="宋体"/>
                      <w:color w:val="000000" w:themeColor="text1"/>
                      <w:szCs w:val="21"/>
                      <w:highlight w:val="none"/>
                      <w:lang w:eastAsia="zh-CN"/>
                      <w14:textFill>
                        <w14:solidFill>
                          <w14:schemeClr w14:val="tx1"/>
                        </w14:solidFill>
                      </w14:textFill>
                    </w:rPr>
                    <w:t>）三级标准</w:t>
                  </w:r>
                </w:p>
              </w:tc>
            </w:tr>
            <w:tr w14:paraId="095826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vMerge w:val="continue"/>
                  <w:tcBorders>
                    <w:tl2br w:val="nil"/>
                    <w:tr2bl w:val="nil"/>
                  </w:tcBorders>
                  <w:vAlign w:val="center"/>
                </w:tcPr>
                <w:p w14:paraId="0484C12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9" w:type="pct"/>
                  <w:vMerge w:val="continue"/>
                  <w:tcBorders>
                    <w:tl2br w:val="nil"/>
                    <w:tr2bl w:val="nil"/>
                  </w:tcBorders>
                  <w:vAlign w:val="center"/>
                </w:tcPr>
                <w:p w14:paraId="47A496E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5322447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COD</w:t>
                  </w:r>
                </w:p>
              </w:tc>
              <w:tc>
                <w:tcPr>
                  <w:tcW w:w="678" w:type="pct"/>
                  <w:tcBorders>
                    <w:tl2br w:val="nil"/>
                    <w:tr2bl w:val="nil"/>
                  </w:tcBorders>
                  <w:vAlign w:val="center"/>
                </w:tcPr>
                <w:p w14:paraId="43A778D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500</w:t>
                  </w:r>
                </w:p>
              </w:tc>
              <w:tc>
                <w:tcPr>
                  <w:tcW w:w="1273" w:type="dxa"/>
                  <w:tcBorders>
                    <w:tl2br w:val="nil"/>
                    <w:tr2bl w:val="nil"/>
                  </w:tcBorders>
                  <w:vAlign w:val="center"/>
                </w:tcPr>
                <w:p w14:paraId="1EE191B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0.945</w:t>
                  </w:r>
                </w:p>
              </w:tc>
              <w:tc>
                <w:tcPr>
                  <w:tcW w:w="389" w:type="pct"/>
                  <w:vMerge w:val="continue"/>
                  <w:tcBorders>
                    <w:tl2br w:val="nil"/>
                    <w:tr2bl w:val="nil"/>
                  </w:tcBorders>
                  <w:vAlign w:val="center"/>
                </w:tcPr>
                <w:p w14:paraId="0DC907E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634DF47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3981225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36C1BB5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4589C5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vMerge w:val="continue"/>
                  <w:tcBorders>
                    <w:tl2br w:val="nil"/>
                    <w:tr2bl w:val="nil"/>
                  </w:tcBorders>
                  <w:vAlign w:val="center"/>
                </w:tcPr>
                <w:p w14:paraId="3A07EB9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9" w:type="pct"/>
                  <w:vMerge w:val="continue"/>
                  <w:tcBorders>
                    <w:tl2br w:val="nil"/>
                    <w:tr2bl w:val="nil"/>
                  </w:tcBorders>
                  <w:vAlign w:val="center"/>
                </w:tcPr>
                <w:p w14:paraId="10760C3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27CF6A0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BOD</w:t>
                  </w:r>
                  <w:r>
                    <w:rPr>
                      <w:rFonts w:ascii="Times New Roman" w:hAnsi="Times New Roman" w:eastAsia="宋体"/>
                      <w:color w:val="000000" w:themeColor="text1"/>
                      <w:szCs w:val="21"/>
                      <w:highlight w:val="none"/>
                      <w:vertAlign w:val="subscript"/>
                      <w14:textFill>
                        <w14:solidFill>
                          <w14:schemeClr w14:val="tx1"/>
                        </w14:solidFill>
                      </w14:textFill>
                    </w:rPr>
                    <w:t>5</w:t>
                  </w:r>
                </w:p>
              </w:tc>
              <w:tc>
                <w:tcPr>
                  <w:tcW w:w="678" w:type="pct"/>
                  <w:tcBorders>
                    <w:tl2br w:val="nil"/>
                    <w:tr2bl w:val="nil"/>
                  </w:tcBorders>
                  <w:vAlign w:val="center"/>
                </w:tcPr>
                <w:p w14:paraId="403174A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300</w:t>
                  </w:r>
                </w:p>
              </w:tc>
              <w:tc>
                <w:tcPr>
                  <w:tcW w:w="1273" w:type="dxa"/>
                  <w:tcBorders>
                    <w:tl2br w:val="nil"/>
                    <w:tr2bl w:val="nil"/>
                  </w:tcBorders>
                  <w:vAlign w:val="center"/>
                </w:tcPr>
                <w:p w14:paraId="0FD1325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0.567</w:t>
                  </w:r>
                </w:p>
              </w:tc>
              <w:tc>
                <w:tcPr>
                  <w:tcW w:w="389" w:type="pct"/>
                  <w:vMerge w:val="continue"/>
                  <w:tcBorders>
                    <w:tl2br w:val="nil"/>
                    <w:tr2bl w:val="nil"/>
                  </w:tcBorders>
                  <w:vAlign w:val="center"/>
                </w:tcPr>
                <w:p w14:paraId="1C96050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37528D5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48811FB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2263BE7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34AA80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vMerge w:val="continue"/>
                  <w:tcBorders>
                    <w:tl2br w:val="nil"/>
                    <w:tr2bl w:val="nil"/>
                  </w:tcBorders>
                  <w:vAlign w:val="center"/>
                </w:tcPr>
                <w:p w14:paraId="50F28B8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9" w:type="pct"/>
                  <w:vMerge w:val="continue"/>
                  <w:tcBorders>
                    <w:tl2br w:val="nil"/>
                    <w:tr2bl w:val="nil"/>
                  </w:tcBorders>
                  <w:vAlign w:val="center"/>
                </w:tcPr>
                <w:p w14:paraId="03ADE92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13A3144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SS</w:t>
                  </w:r>
                </w:p>
              </w:tc>
              <w:tc>
                <w:tcPr>
                  <w:tcW w:w="678" w:type="pct"/>
                  <w:tcBorders>
                    <w:tl2br w:val="nil"/>
                    <w:tr2bl w:val="nil"/>
                  </w:tcBorders>
                  <w:vAlign w:val="center"/>
                </w:tcPr>
                <w:p w14:paraId="372DB90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400</w:t>
                  </w:r>
                </w:p>
              </w:tc>
              <w:tc>
                <w:tcPr>
                  <w:tcW w:w="1273" w:type="dxa"/>
                  <w:tcBorders>
                    <w:tl2br w:val="nil"/>
                    <w:tr2bl w:val="nil"/>
                  </w:tcBorders>
                  <w:vAlign w:val="center"/>
                </w:tcPr>
                <w:p w14:paraId="0A4F6D9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0.756</w:t>
                  </w:r>
                </w:p>
              </w:tc>
              <w:tc>
                <w:tcPr>
                  <w:tcW w:w="389" w:type="pct"/>
                  <w:vMerge w:val="continue"/>
                  <w:tcBorders>
                    <w:tl2br w:val="nil"/>
                    <w:tr2bl w:val="nil"/>
                  </w:tcBorders>
                  <w:vAlign w:val="center"/>
                </w:tcPr>
                <w:p w14:paraId="207F8CF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00429A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3AC05B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75FE82C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1A1934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vMerge w:val="continue"/>
                  <w:tcBorders>
                    <w:tl2br w:val="nil"/>
                    <w:tr2bl w:val="nil"/>
                  </w:tcBorders>
                  <w:vAlign w:val="center"/>
                </w:tcPr>
                <w:p w14:paraId="7D3B357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9" w:type="pct"/>
                  <w:vMerge w:val="continue"/>
                  <w:tcBorders>
                    <w:tl2br w:val="nil"/>
                    <w:tr2bl w:val="nil"/>
                  </w:tcBorders>
                  <w:vAlign w:val="center"/>
                </w:tcPr>
                <w:p w14:paraId="3A94F5C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3EA4ED2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氨氮</w:t>
                  </w:r>
                </w:p>
              </w:tc>
              <w:tc>
                <w:tcPr>
                  <w:tcW w:w="678" w:type="pct"/>
                  <w:tcBorders>
                    <w:tl2br w:val="nil"/>
                    <w:tr2bl w:val="nil"/>
                  </w:tcBorders>
                  <w:vAlign w:val="center"/>
                </w:tcPr>
                <w:p w14:paraId="5C2DD65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45</w:t>
                  </w:r>
                </w:p>
              </w:tc>
              <w:tc>
                <w:tcPr>
                  <w:tcW w:w="1273" w:type="dxa"/>
                  <w:tcBorders>
                    <w:tl2br w:val="nil"/>
                    <w:tr2bl w:val="nil"/>
                  </w:tcBorders>
                  <w:vAlign w:val="center"/>
                </w:tcPr>
                <w:p w14:paraId="7F7E059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2"/>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2"/>
                      <w:highlight w:val="none"/>
                      <w:lang w:val="en-US" w:eastAsia="zh-CN" w:bidi="ar-SA"/>
                      <w14:textFill>
                        <w14:solidFill>
                          <w14:schemeClr w14:val="tx1"/>
                        </w14:solidFill>
                      </w14:textFill>
                    </w:rPr>
                    <w:t>0.0851</w:t>
                  </w:r>
                </w:p>
              </w:tc>
              <w:tc>
                <w:tcPr>
                  <w:tcW w:w="389" w:type="pct"/>
                  <w:vMerge w:val="continue"/>
                  <w:tcBorders>
                    <w:tl2br w:val="nil"/>
                    <w:tr2bl w:val="nil"/>
                  </w:tcBorders>
                  <w:vAlign w:val="center"/>
                </w:tcPr>
                <w:p w14:paraId="430C5A3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36C0640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25A494F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786FDA4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368BC4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35" w:type="pct"/>
                  <w:vMerge w:val="continue"/>
                  <w:tcBorders>
                    <w:tl2br w:val="nil"/>
                    <w:tr2bl w:val="nil"/>
                  </w:tcBorders>
                  <w:vAlign w:val="center"/>
                </w:tcPr>
                <w:p w14:paraId="40FB194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9" w:type="pct"/>
                  <w:vMerge w:val="continue"/>
                  <w:tcBorders>
                    <w:tl2br w:val="nil"/>
                    <w:tr2bl w:val="nil"/>
                  </w:tcBorders>
                  <w:vAlign w:val="center"/>
                </w:tcPr>
                <w:p w14:paraId="2CCF5D5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734FA1F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TP</w:t>
                  </w:r>
                </w:p>
              </w:tc>
              <w:tc>
                <w:tcPr>
                  <w:tcW w:w="678" w:type="pct"/>
                  <w:tcBorders>
                    <w:tl2br w:val="nil"/>
                    <w:tr2bl w:val="nil"/>
                  </w:tcBorders>
                  <w:vAlign w:val="center"/>
                </w:tcPr>
                <w:p w14:paraId="16A804D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8</w:t>
                  </w:r>
                </w:p>
              </w:tc>
              <w:tc>
                <w:tcPr>
                  <w:tcW w:w="1273" w:type="dxa"/>
                  <w:tcBorders>
                    <w:tl2br w:val="nil"/>
                    <w:tr2bl w:val="nil"/>
                  </w:tcBorders>
                  <w:vAlign w:val="center"/>
                </w:tcPr>
                <w:p w14:paraId="0448F90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2"/>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2"/>
                      <w:highlight w:val="none"/>
                      <w:lang w:val="en-US" w:eastAsia="zh-CN" w:bidi="ar-SA"/>
                      <w14:textFill>
                        <w14:solidFill>
                          <w14:schemeClr w14:val="tx1"/>
                        </w14:solidFill>
                      </w14:textFill>
                    </w:rPr>
                    <w:t>0.0151</w:t>
                  </w:r>
                </w:p>
              </w:tc>
              <w:tc>
                <w:tcPr>
                  <w:tcW w:w="389" w:type="pct"/>
                  <w:vMerge w:val="continue"/>
                  <w:tcBorders>
                    <w:tl2br w:val="nil"/>
                    <w:tr2bl w:val="nil"/>
                  </w:tcBorders>
                  <w:vAlign w:val="center"/>
                </w:tcPr>
                <w:p w14:paraId="66D877E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5AF9A83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057FFDC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6E47244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bl>
          <w:p w14:paraId="19C47D66">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rFonts w:hint="eastAsia" w:eastAsia="宋体"/>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6、</w:t>
            </w:r>
            <w:r>
              <w:rPr>
                <w:rFonts w:hint="eastAsia" w:ascii="Times New Roman" w:hAnsi="Times New Roman" w:cs="Times New Roman"/>
                <w:b/>
                <w:color w:val="000000" w:themeColor="text1"/>
                <w:sz w:val="24"/>
                <w:highlight w:val="none"/>
                <w:lang w:eastAsia="zh-CN"/>
                <w14:textFill>
                  <w14:solidFill>
                    <w14:schemeClr w14:val="tx1"/>
                  </w14:solidFill>
                </w14:textFill>
              </w:rPr>
              <w:t>监测计划</w:t>
            </w:r>
          </w:p>
          <w:p w14:paraId="0D934DF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b/>
                <w:bCs/>
                <w:color w:val="000000" w:themeColor="text1"/>
                <w:sz w:val="24"/>
                <w:szCs w:val="24"/>
                <w:highlight w:val="none"/>
                <w14:textFill>
                  <w14:solidFill>
                    <w14:schemeClr w14:val="tx1"/>
                  </w14:solidFill>
                </w14:textFill>
              </w:rPr>
            </w:pPr>
            <w:r>
              <w:rPr>
                <w:rFonts w:hint="default" w:ascii="Times New Roman" w:hAnsi="Times New Roman" w:cs="Times New Roman"/>
                <w:bCs/>
                <w:color w:val="000000" w:themeColor="text1"/>
                <w:sz w:val="24"/>
                <w:highlight w:val="none"/>
                <w:lang w:eastAsia="zh-CN"/>
                <w14:textFill>
                  <w14:solidFill>
                    <w14:schemeClr w14:val="tx1"/>
                  </w14:solidFill>
                </w14:textFill>
              </w:rPr>
              <w:t>本项目不设置</w:t>
            </w:r>
            <w:r>
              <w:rPr>
                <w:rFonts w:hint="eastAsia" w:ascii="Times New Roman" w:hAnsi="Times New Roman" w:cs="Times New Roman"/>
                <w:bCs/>
                <w:color w:val="000000" w:themeColor="text1"/>
                <w:sz w:val="24"/>
                <w:highlight w:val="none"/>
                <w:lang w:eastAsia="zh-CN"/>
                <w14:textFill>
                  <w14:solidFill>
                    <w14:schemeClr w14:val="tx1"/>
                  </w14:solidFill>
                </w14:textFill>
              </w:rPr>
              <w:t>废水监测计划</w:t>
            </w:r>
            <w:r>
              <w:rPr>
                <w:rFonts w:hint="default" w:ascii="Times New Roman" w:hAnsi="Times New Roman" w:cs="Times New Roman"/>
                <w:bCs/>
                <w:color w:val="000000" w:themeColor="text1"/>
                <w:sz w:val="24"/>
                <w:highlight w:val="none"/>
                <w:lang w:eastAsia="zh-CN"/>
                <w14:textFill>
                  <w14:solidFill>
                    <w14:schemeClr w14:val="tx1"/>
                  </w14:solidFill>
                </w14:textFill>
              </w:rPr>
              <w:t>。</w:t>
            </w:r>
          </w:p>
          <w:p w14:paraId="1F2FAB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三、噪声排放及治理措施</w:t>
            </w:r>
          </w:p>
          <w:p w14:paraId="0C1EF17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1、噪声源</w:t>
            </w:r>
          </w:p>
          <w:p w14:paraId="33BF8E1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本项目噪声源主要为搅拌机、物料传送的皮带机、装载机、运输车辆等。噪声污染源强为70~95dB（A）之间。根据类别调查，项目主要设备噪声源强见下表。</w:t>
            </w:r>
          </w:p>
          <w:p w14:paraId="45D32A4C">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4-9    </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主要声源设备一览表</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37"/>
              <w:gridCol w:w="2006"/>
              <w:gridCol w:w="1427"/>
              <w:gridCol w:w="561"/>
              <w:gridCol w:w="1987"/>
              <w:gridCol w:w="1421"/>
            </w:tblGrid>
            <w:tr w14:paraId="4D21C2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08FE21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263" w:type="pct"/>
                  <w:tcBorders>
                    <w:tl2br w:val="nil"/>
                    <w:tr2bl w:val="nil"/>
                  </w:tcBorders>
                  <w:vAlign w:val="center"/>
                </w:tcPr>
                <w:p w14:paraId="369BB77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设备名称</w:t>
                  </w:r>
                </w:p>
              </w:tc>
              <w:tc>
                <w:tcPr>
                  <w:tcW w:w="898" w:type="pct"/>
                  <w:tcBorders>
                    <w:tl2br w:val="nil"/>
                    <w:tr2bl w:val="nil"/>
                  </w:tcBorders>
                  <w:vAlign w:val="center"/>
                </w:tcPr>
                <w:p w14:paraId="2AB68B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噪声值</w:t>
                  </w:r>
                </w:p>
              </w:tc>
              <w:tc>
                <w:tcPr>
                  <w:tcW w:w="353" w:type="pct"/>
                  <w:tcBorders>
                    <w:tl2br w:val="nil"/>
                    <w:tr2bl w:val="nil"/>
                  </w:tcBorders>
                  <w:vAlign w:val="center"/>
                </w:tcPr>
                <w:p w14:paraId="5254A5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251" w:type="pct"/>
                  <w:tcBorders>
                    <w:tl2br w:val="nil"/>
                    <w:tr2bl w:val="nil"/>
                  </w:tcBorders>
                  <w:vAlign w:val="center"/>
                </w:tcPr>
                <w:p w14:paraId="1CEDC6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设备名称</w:t>
                  </w:r>
                </w:p>
              </w:tc>
              <w:tc>
                <w:tcPr>
                  <w:tcW w:w="894" w:type="pct"/>
                  <w:tcBorders>
                    <w:tl2br w:val="nil"/>
                    <w:tr2bl w:val="nil"/>
                  </w:tcBorders>
                  <w:vAlign w:val="center"/>
                </w:tcPr>
                <w:p w14:paraId="26D7F8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噪声值</w:t>
                  </w:r>
                </w:p>
              </w:tc>
            </w:tr>
            <w:tr w14:paraId="656D9F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2500" w:type="pct"/>
                  <w:gridSpan w:val="3"/>
                  <w:tcBorders>
                    <w:tl2br w:val="nil"/>
                    <w:tr2bl w:val="nil"/>
                  </w:tcBorders>
                  <w:vAlign w:val="center"/>
                </w:tcPr>
                <w:p w14:paraId="5B798B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拌和区</w:t>
                  </w:r>
                </w:p>
              </w:tc>
              <w:tc>
                <w:tcPr>
                  <w:tcW w:w="2499" w:type="pct"/>
                  <w:gridSpan w:val="3"/>
                  <w:tcBorders>
                    <w:tl2br w:val="nil"/>
                    <w:tr2bl w:val="nil"/>
                  </w:tcBorders>
                  <w:vAlign w:val="center"/>
                </w:tcPr>
                <w:p w14:paraId="440DC8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钢结构加工区</w:t>
                  </w:r>
                </w:p>
              </w:tc>
            </w:tr>
            <w:tr w14:paraId="772E80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5C7E43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1263" w:type="pct"/>
                  <w:tcBorders>
                    <w:tl2br w:val="nil"/>
                    <w:tr2bl w:val="nil"/>
                  </w:tcBorders>
                  <w:vAlign w:val="center"/>
                </w:tcPr>
                <w:p w14:paraId="5EFCE1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楼</w:t>
                  </w:r>
                </w:p>
              </w:tc>
              <w:tc>
                <w:tcPr>
                  <w:tcW w:w="898" w:type="pct"/>
                  <w:tcBorders>
                    <w:tl2br w:val="nil"/>
                    <w:tr2bl w:val="nil"/>
                  </w:tcBorders>
                  <w:vAlign w:val="center"/>
                </w:tcPr>
                <w:p w14:paraId="6B163E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139211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p>
              </w:tc>
              <w:tc>
                <w:tcPr>
                  <w:tcW w:w="1251" w:type="pct"/>
                  <w:tcBorders>
                    <w:tl2br w:val="nil"/>
                    <w:tr2bl w:val="nil"/>
                  </w:tcBorders>
                  <w:vAlign w:val="center"/>
                </w:tcPr>
                <w:p w14:paraId="4FB9951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钢筋数控弯曲中心</w:t>
                  </w:r>
                </w:p>
              </w:tc>
              <w:tc>
                <w:tcPr>
                  <w:tcW w:w="894" w:type="pct"/>
                  <w:tcBorders>
                    <w:tl2br w:val="nil"/>
                    <w:tr2bl w:val="nil"/>
                  </w:tcBorders>
                  <w:vAlign w:val="center"/>
                </w:tcPr>
                <w:p w14:paraId="4F50EB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3D0A8B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03F4E5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1263" w:type="pct"/>
                  <w:tcBorders>
                    <w:tl2br w:val="nil"/>
                    <w:tr2bl w:val="nil"/>
                  </w:tcBorders>
                  <w:vAlign w:val="center"/>
                </w:tcPr>
                <w:p w14:paraId="418BA6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898" w:type="pct"/>
                  <w:tcBorders>
                    <w:tl2br w:val="nil"/>
                    <w:tr2bl w:val="nil"/>
                  </w:tcBorders>
                  <w:vAlign w:val="center"/>
                </w:tcPr>
                <w:p w14:paraId="1E46DE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70dB（A）</w:t>
                  </w:r>
                </w:p>
              </w:tc>
              <w:tc>
                <w:tcPr>
                  <w:tcW w:w="353" w:type="pct"/>
                  <w:tcBorders>
                    <w:tl2br w:val="nil"/>
                    <w:tr2bl w:val="nil"/>
                  </w:tcBorders>
                  <w:vAlign w:val="center"/>
                </w:tcPr>
                <w:p w14:paraId="40236F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w:t>
                  </w:r>
                </w:p>
              </w:tc>
              <w:tc>
                <w:tcPr>
                  <w:tcW w:w="1251" w:type="pct"/>
                  <w:tcBorders>
                    <w:tl2br w:val="nil"/>
                    <w:tr2bl w:val="nil"/>
                  </w:tcBorders>
                  <w:vAlign w:val="center"/>
                </w:tcPr>
                <w:p w14:paraId="619CF7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普通钢筋弯曲机</w:t>
                  </w:r>
                </w:p>
              </w:tc>
              <w:tc>
                <w:tcPr>
                  <w:tcW w:w="894" w:type="pct"/>
                  <w:tcBorders>
                    <w:tl2br w:val="nil"/>
                    <w:tr2bl w:val="nil"/>
                  </w:tcBorders>
                  <w:vAlign w:val="center"/>
                </w:tcPr>
                <w:p w14:paraId="601DFD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1A3B46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5E2535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3</w:t>
                  </w:r>
                </w:p>
              </w:tc>
              <w:tc>
                <w:tcPr>
                  <w:tcW w:w="1263" w:type="pct"/>
                  <w:tcBorders>
                    <w:tl2br w:val="nil"/>
                    <w:tr2bl w:val="nil"/>
                  </w:tcBorders>
                  <w:vAlign w:val="center"/>
                </w:tcPr>
                <w:p w14:paraId="44A735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p>
              </w:tc>
              <w:tc>
                <w:tcPr>
                  <w:tcW w:w="898" w:type="pct"/>
                  <w:tcBorders>
                    <w:tl2br w:val="nil"/>
                    <w:tr2bl w:val="nil"/>
                  </w:tcBorders>
                  <w:vAlign w:val="center"/>
                </w:tcPr>
                <w:p w14:paraId="320CD5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85dB（A）</w:t>
                  </w:r>
                </w:p>
              </w:tc>
              <w:tc>
                <w:tcPr>
                  <w:tcW w:w="353" w:type="pct"/>
                  <w:tcBorders>
                    <w:tl2br w:val="nil"/>
                    <w:tr2bl w:val="nil"/>
                  </w:tcBorders>
                  <w:vAlign w:val="center"/>
                </w:tcPr>
                <w:p w14:paraId="481B34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1251" w:type="pct"/>
                  <w:tcBorders>
                    <w:tl2br w:val="nil"/>
                    <w:tr2bl w:val="nil"/>
                  </w:tcBorders>
                  <w:vAlign w:val="center"/>
                </w:tcPr>
                <w:p w14:paraId="0694BD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钢筋镦粗车丝机</w:t>
                  </w:r>
                </w:p>
              </w:tc>
              <w:tc>
                <w:tcPr>
                  <w:tcW w:w="894" w:type="pct"/>
                  <w:tcBorders>
                    <w:tl2br w:val="nil"/>
                    <w:tr2bl w:val="nil"/>
                  </w:tcBorders>
                  <w:vAlign w:val="center"/>
                </w:tcPr>
                <w:p w14:paraId="301D7E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628512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6087C5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1263" w:type="pct"/>
                  <w:tcBorders>
                    <w:tl2br w:val="nil"/>
                    <w:tr2bl w:val="nil"/>
                  </w:tcBorders>
                  <w:vAlign w:val="center"/>
                </w:tcPr>
                <w:p w14:paraId="2AFBB4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砂石分离机</w:t>
                  </w:r>
                </w:p>
              </w:tc>
              <w:tc>
                <w:tcPr>
                  <w:tcW w:w="898" w:type="pct"/>
                  <w:tcBorders>
                    <w:tl2br w:val="nil"/>
                    <w:tr2bl w:val="nil"/>
                  </w:tcBorders>
                  <w:vAlign w:val="center"/>
                </w:tcPr>
                <w:p w14:paraId="527F31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9</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07769EB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1251" w:type="pct"/>
                  <w:tcBorders>
                    <w:tl2br w:val="nil"/>
                    <w:tr2bl w:val="nil"/>
                  </w:tcBorders>
                  <w:vAlign w:val="center"/>
                </w:tcPr>
                <w:p w14:paraId="2C356A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交流电焊机</w:t>
                  </w:r>
                </w:p>
              </w:tc>
              <w:tc>
                <w:tcPr>
                  <w:tcW w:w="894" w:type="pct"/>
                  <w:tcBorders>
                    <w:tl2br w:val="nil"/>
                    <w:tr2bl w:val="nil"/>
                  </w:tcBorders>
                  <w:vAlign w:val="center"/>
                </w:tcPr>
                <w:p w14:paraId="1C60D5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40EFE2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01AB7D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1263" w:type="pct"/>
                  <w:tcBorders>
                    <w:tl2br w:val="nil"/>
                    <w:tr2bl w:val="nil"/>
                  </w:tcBorders>
                  <w:vAlign w:val="center"/>
                </w:tcPr>
                <w:p w14:paraId="5102BF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压滤机</w:t>
                  </w:r>
                </w:p>
              </w:tc>
              <w:tc>
                <w:tcPr>
                  <w:tcW w:w="898" w:type="pct"/>
                  <w:tcBorders>
                    <w:tl2br w:val="nil"/>
                    <w:tr2bl w:val="nil"/>
                  </w:tcBorders>
                  <w:vAlign w:val="center"/>
                </w:tcPr>
                <w:p w14:paraId="5D743A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61B99C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11</w:t>
                  </w:r>
                </w:p>
              </w:tc>
              <w:tc>
                <w:tcPr>
                  <w:tcW w:w="1251" w:type="pct"/>
                  <w:tcBorders>
                    <w:tl2br w:val="nil"/>
                    <w:tr2bl w:val="nil"/>
                  </w:tcBorders>
                  <w:vAlign w:val="center"/>
                </w:tcPr>
                <w:p w14:paraId="3DA8C1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钢筋笼滚焊机</w:t>
                  </w:r>
                </w:p>
              </w:tc>
              <w:tc>
                <w:tcPr>
                  <w:tcW w:w="894" w:type="pct"/>
                  <w:tcBorders>
                    <w:tl2br w:val="nil"/>
                    <w:tr2bl w:val="nil"/>
                  </w:tcBorders>
                  <w:vAlign w:val="center"/>
                </w:tcPr>
                <w:p w14:paraId="3760B4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12878A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083E20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6</w:t>
                  </w:r>
                </w:p>
              </w:tc>
              <w:tc>
                <w:tcPr>
                  <w:tcW w:w="1263" w:type="pct"/>
                  <w:tcBorders>
                    <w:tl2br w:val="nil"/>
                    <w:tr2bl w:val="nil"/>
                  </w:tcBorders>
                  <w:vAlign w:val="center"/>
                </w:tcPr>
                <w:p w14:paraId="34192C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备用发电机</w:t>
                  </w:r>
                </w:p>
              </w:tc>
              <w:tc>
                <w:tcPr>
                  <w:tcW w:w="898" w:type="pct"/>
                  <w:tcBorders>
                    <w:tl2br w:val="nil"/>
                    <w:tr2bl w:val="nil"/>
                  </w:tcBorders>
                  <w:vAlign w:val="center"/>
                </w:tcPr>
                <w:p w14:paraId="58C33E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9</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4925B0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12</w:t>
                  </w:r>
                </w:p>
              </w:tc>
              <w:tc>
                <w:tcPr>
                  <w:tcW w:w="1251" w:type="pct"/>
                  <w:tcBorders>
                    <w:tl2br w:val="nil"/>
                    <w:tr2bl w:val="nil"/>
                  </w:tcBorders>
                  <w:vAlign w:val="center"/>
                </w:tcPr>
                <w:p w14:paraId="7A1A70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钢筋断筋机</w:t>
                  </w:r>
                </w:p>
              </w:tc>
              <w:tc>
                <w:tcPr>
                  <w:tcW w:w="894" w:type="pct"/>
                  <w:tcBorders>
                    <w:tl2br w:val="nil"/>
                    <w:tr2bl w:val="nil"/>
                  </w:tcBorders>
                  <w:vAlign w:val="center"/>
                </w:tcPr>
                <w:p w14:paraId="490A91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30826E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000" w:type="pct"/>
                  <w:gridSpan w:val="6"/>
                  <w:tcBorders>
                    <w:tl2br w:val="nil"/>
                    <w:tr2bl w:val="nil"/>
                  </w:tcBorders>
                  <w:vAlign w:val="center"/>
                </w:tcPr>
                <w:p w14:paraId="4B9E66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预制梁区</w:t>
                  </w:r>
                </w:p>
              </w:tc>
            </w:tr>
            <w:tr w14:paraId="34A957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44D91E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13</w:t>
                  </w:r>
                </w:p>
              </w:tc>
              <w:tc>
                <w:tcPr>
                  <w:tcW w:w="1263" w:type="pct"/>
                  <w:tcBorders>
                    <w:tl2br w:val="nil"/>
                    <w:tr2bl w:val="nil"/>
                  </w:tcBorders>
                  <w:vAlign w:val="center"/>
                </w:tcPr>
                <w:p w14:paraId="51447A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智能张拉设备</w:t>
                  </w:r>
                </w:p>
              </w:tc>
              <w:tc>
                <w:tcPr>
                  <w:tcW w:w="898" w:type="pct"/>
                  <w:tcBorders>
                    <w:tl2br w:val="nil"/>
                    <w:tr2bl w:val="nil"/>
                  </w:tcBorders>
                  <w:vAlign w:val="center"/>
                </w:tcPr>
                <w:p w14:paraId="54B59B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350854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16</w:t>
                  </w:r>
                </w:p>
              </w:tc>
              <w:tc>
                <w:tcPr>
                  <w:tcW w:w="1251" w:type="pct"/>
                  <w:tcBorders>
                    <w:tl2br w:val="nil"/>
                    <w:tr2bl w:val="nil"/>
                  </w:tcBorders>
                  <w:vAlign w:val="center"/>
                </w:tcPr>
                <w:p w14:paraId="1C9C35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894" w:type="pct"/>
                  <w:tcBorders>
                    <w:tl2br w:val="nil"/>
                    <w:tr2bl w:val="nil"/>
                  </w:tcBorders>
                  <w:vAlign w:val="center"/>
                </w:tcPr>
                <w:p w14:paraId="277D40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111D1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2F4D96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14</w:t>
                  </w:r>
                </w:p>
              </w:tc>
              <w:tc>
                <w:tcPr>
                  <w:tcW w:w="1263" w:type="pct"/>
                  <w:tcBorders>
                    <w:tl2br w:val="nil"/>
                    <w:tr2bl w:val="nil"/>
                  </w:tcBorders>
                  <w:vAlign w:val="center"/>
                </w:tcPr>
                <w:p w14:paraId="3392FF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智能压浆设备</w:t>
                  </w:r>
                </w:p>
              </w:tc>
              <w:tc>
                <w:tcPr>
                  <w:tcW w:w="898" w:type="pct"/>
                  <w:tcBorders>
                    <w:tl2br w:val="nil"/>
                    <w:tr2bl w:val="nil"/>
                  </w:tcBorders>
                  <w:vAlign w:val="center"/>
                </w:tcPr>
                <w:p w14:paraId="31D482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343CAC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17</w:t>
                  </w:r>
                </w:p>
              </w:tc>
              <w:tc>
                <w:tcPr>
                  <w:tcW w:w="1251" w:type="pct"/>
                  <w:tcBorders>
                    <w:tl2br w:val="nil"/>
                    <w:tr2bl w:val="nil"/>
                  </w:tcBorders>
                  <w:vAlign w:val="center"/>
                </w:tcPr>
                <w:p w14:paraId="2CD441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894" w:type="pct"/>
                  <w:tcBorders>
                    <w:tl2br w:val="nil"/>
                    <w:tr2bl w:val="nil"/>
                  </w:tcBorders>
                  <w:vAlign w:val="center"/>
                </w:tcPr>
                <w:p w14:paraId="05992A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096C9D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38" w:type="pct"/>
                  <w:tcBorders>
                    <w:tl2br w:val="nil"/>
                    <w:tr2bl w:val="nil"/>
                  </w:tcBorders>
                  <w:vAlign w:val="center"/>
                </w:tcPr>
                <w:p w14:paraId="2B3259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263" w:type="pct"/>
                  <w:tcBorders>
                    <w:tl2br w:val="nil"/>
                    <w:tr2bl w:val="nil"/>
                  </w:tcBorders>
                  <w:vAlign w:val="center"/>
                </w:tcPr>
                <w:p w14:paraId="46A981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自动喷淋养护系统</w:t>
                  </w:r>
                </w:p>
              </w:tc>
              <w:tc>
                <w:tcPr>
                  <w:tcW w:w="898" w:type="pct"/>
                  <w:tcBorders>
                    <w:tl2br w:val="nil"/>
                    <w:tr2bl w:val="nil"/>
                  </w:tcBorders>
                  <w:vAlign w:val="center"/>
                </w:tcPr>
                <w:p w14:paraId="2B0526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27A129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51" w:type="pct"/>
                  <w:tcBorders>
                    <w:tl2br w:val="nil"/>
                    <w:tr2bl w:val="nil"/>
                  </w:tcBorders>
                  <w:vAlign w:val="center"/>
                </w:tcPr>
                <w:p w14:paraId="14D10F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c>
                <w:tcPr>
                  <w:tcW w:w="894" w:type="pct"/>
                  <w:tcBorders>
                    <w:tl2br w:val="nil"/>
                    <w:tr2bl w:val="nil"/>
                  </w:tcBorders>
                  <w:vAlign w:val="center"/>
                </w:tcPr>
                <w:p w14:paraId="77F723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r>
          </w:tbl>
          <w:p w14:paraId="14DBAFB7">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rFonts w:hint="default"/>
                <w:b/>
                <w:bCs/>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2、治理措施</w:t>
            </w:r>
          </w:p>
          <w:p w14:paraId="47BA868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（1）控制噪声源</w:t>
            </w:r>
          </w:p>
          <w:p w14:paraId="3337E43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①在设备订货时需选用低噪声的生产设备和工艺，要求设备生产厂家提供符合噪声允许标准的产品。及时维修、更换老化、产生噪声大的设备；加强管理，设备做到定期维护和保养。</w:t>
            </w:r>
          </w:p>
          <w:p w14:paraId="5011BE7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②对搅拌机、钢筋断筋机、钢筋滚焊机等高噪声设备加装减震垫/橡胶垫，</w:t>
            </w:r>
            <w:r>
              <w:rPr>
                <w:color w:val="000000" w:themeColor="text1"/>
                <w:sz w:val="24"/>
                <w:szCs w:val="28"/>
                <w:highlight w:val="none"/>
                <w14:textFill>
                  <w14:solidFill>
                    <w14:schemeClr w14:val="tx1"/>
                  </w14:solidFill>
                </w14:textFill>
              </w:rPr>
              <w:t>采用弹性支承或弹性连接以减少振动</w:t>
            </w:r>
            <w:r>
              <w:rPr>
                <w:rFonts w:hint="eastAsia"/>
                <w:color w:val="000000" w:themeColor="text1"/>
                <w:sz w:val="24"/>
                <w:szCs w:val="28"/>
                <w:highlight w:val="none"/>
                <w:lang w:eastAsia="zh-CN"/>
                <w14:textFill>
                  <w14:solidFill>
                    <w14:schemeClr w14:val="tx1"/>
                  </w14:solidFill>
                </w14:textFill>
              </w:rPr>
              <w:t>。</w:t>
            </w:r>
          </w:p>
          <w:p w14:paraId="5112171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③加强管理，减少非正常噪声，加强职工环保意识教育，减少人为因素造成的噪声。</w:t>
            </w:r>
          </w:p>
          <w:p w14:paraId="7CBADE5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Cs/>
                <w:color w:val="000000" w:themeColor="text1"/>
                <w:sz w:val="24"/>
                <w:highlight w:val="none"/>
                <w14:textFill>
                  <w14:solidFill>
                    <w14:schemeClr w14:val="tx1"/>
                  </w14:solidFill>
                </w14:textFill>
              </w:rPr>
              <w:t>④加强设备管理和维护：定期在皮带输送机等设备的滚轴处加机油，从而减少摩擦噪声产生；必须定期对设备进行检查，确保设备处于良好的运转状态，杜绝因设备不正常运转产生的高噪声现象；对故障或损坏的设备及时进行维护或更换。</w:t>
            </w:r>
          </w:p>
          <w:p w14:paraId="303CE66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Cs/>
                <w:color w:val="000000" w:themeColor="text1"/>
                <w:sz w:val="24"/>
                <w:szCs w:val="22"/>
                <w:highlight w:val="none"/>
                <w14:textFill>
                  <w14:solidFill>
                    <w14:schemeClr w14:val="tx1"/>
                  </w14:solidFill>
                </w14:textFill>
              </w:rPr>
              <w:t>⑤根据调查，当车辆在平滑路面行驶时其噪声值较坑洼路面行驶时的噪声值要低15dB（A），因此要求企业修筑平滑路面，尽量减小路面坡度，这样可大大减轻车辆在启动及行驶过程发动机轰鸣噪声。</w:t>
            </w:r>
          </w:p>
          <w:p w14:paraId="6A42D81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（2）阻断噪声传播</w:t>
            </w:r>
          </w:p>
          <w:p w14:paraId="54F2ED3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①本项目所有生产过程均在密闭厂房内，采用四周彩钢棚全封闭厂房，厂房外设置绿化带隔离，以降低噪声的影响。</w:t>
            </w:r>
          </w:p>
          <w:p w14:paraId="1E8B682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②厂房墙体设计中选用隔声、吸声好的结构，封闭高噪声车间。</w:t>
            </w:r>
          </w:p>
          <w:p w14:paraId="66A1650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③合理进行厂区总图布置，</w:t>
            </w:r>
            <w:r>
              <w:rPr>
                <w:rFonts w:hint="default" w:ascii="Times New Roman" w:hAnsi="Times New Roman" w:cs="Times New Roman"/>
                <w:bCs/>
                <w:color w:val="000000" w:themeColor="text1"/>
                <w:sz w:val="24"/>
                <w:highlight w:val="none"/>
                <w14:textFill>
                  <w14:solidFill>
                    <w14:schemeClr w14:val="tx1"/>
                  </w14:solidFill>
                </w14:textFill>
              </w:rPr>
              <w:t>主要工作区（原料输送、搅拌等）设置位置离厂界较远；通过距离衰减，减少对周围环境的影响</w:t>
            </w:r>
            <w:r>
              <w:rPr>
                <w:rFonts w:hint="eastAsia"/>
                <w:color w:val="000000" w:themeColor="text1"/>
                <w:sz w:val="24"/>
                <w:szCs w:val="24"/>
                <w:highlight w:val="none"/>
                <w:lang w:val="en-US" w:eastAsia="zh-CN"/>
                <w14:textFill>
                  <w14:solidFill>
                    <w14:schemeClr w14:val="tx1"/>
                  </w14:solidFill>
                </w14:textFill>
              </w:rPr>
              <w:t>。</w:t>
            </w:r>
          </w:p>
          <w:p w14:paraId="362C93E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④交通噪声：加强车辆进出管理，车辆在进出场地时</w:t>
            </w:r>
            <w:r>
              <w:rPr>
                <w:rFonts w:hint="eastAsia" w:ascii="Times New Roman" w:hAnsi="Times New Roman"/>
                <w:color w:val="000000" w:themeColor="text1"/>
                <w:sz w:val="24"/>
                <w:highlight w:val="none"/>
                <w14:textFill>
                  <w14:solidFill>
                    <w14:schemeClr w14:val="tx1"/>
                  </w14:solidFill>
                </w14:textFill>
              </w:rPr>
              <w:t>需减速行驶，车速</w:t>
            </w:r>
            <w:r>
              <w:rPr>
                <w:rFonts w:hint="eastAsia"/>
                <w:color w:val="000000" w:themeColor="text1"/>
                <w:sz w:val="24"/>
                <w:highlight w:val="none"/>
                <w:lang w:val="en-US" w:eastAsia="zh-CN"/>
                <w14:textFill>
                  <w14:solidFill>
                    <w14:schemeClr w14:val="tx1"/>
                  </w14:solidFill>
                </w14:textFill>
              </w:rPr>
              <w:t>10</w:t>
            </w:r>
            <w:r>
              <w:rPr>
                <w:rFonts w:hint="eastAsia" w:ascii="Times New Roman" w:hAnsi="Times New Roman"/>
                <w:color w:val="000000" w:themeColor="text1"/>
                <w:sz w:val="24"/>
                <w:highlight w:val="none"/>
                <w14:textFill>
                  <w14:solidFill>
                    <w14:schemeClr w14:val="tx1"/>
                  </w14:solidFill>
                </w14:textFill>
              </w:rPr>
              <w:t>km/h计，</w:t>
            </w:r>
            <w:r>
              <w:rPr>
                <w:rFonts w:hint="eastAsia"/>
                <w:color w:val="000000" w:themeColor="text1"/>
                <w:sz w:val="24"/>
                <w:szCs w:val="24"/>
                <w:highlight w:val="none"/>
                <w:lang w:val="en-US" w:eastAsia="zh-CN"/>
                <w14:textFill>
                  <w14:solidFill>
                    <w14:schemeClr w14:val="tx1"/>
                  </w14:solidFill>
                </w14:textFill>
              </w:rPr>
              <w:t>禁止鸣笛等。</w:t>
            </w:r>
            <w:r>
              <w:rPr>
                <w:rFonts w:hint="default" w:ascii="Times New Roman" w:hAnsi="Times New Roman" w:cs="Times New Roman"/>
                <w:color w:val="000000" w:themeColor="text1"/>
                <w:sz w:val="24"/>
                <w:highlight w:val="none"/>
                <w14:textFill>
                  <w14:solidFill>
                    <w14:schemeClr w14:val="tx1"/>
                  </w14:solidFill>
                </w14:textFill>
              </w:rPr>
              <w:t>加强运输车辆管理，合理安排车辆运输路线，尽量避开居民点和环境敏感点</w:t>
            </w:r>
            <w:r>
              <w:rPr>
                <w:rFonts w:hint="default" w:ascii="Times New Roman" w:hAnsi="Times New Roman" w:cs="Times New Roman"/>
                <w:bCs/>
                <w:color w:val="000000" w:themeColor="text1"/>
                <w:sz w:val="24"/>
                <w:highlight w:val="none"/>
                <w14:textFill>
                  <w14:solidFill>
                    <w14:schemeClr w14:val="tx1"/>
                  </w14:solidFill>
                </w14:textFill>
              </w:rPr>
              <w:t>。</w:t>
            </w:r>
            <w:r>
              <w:rPr>
                <w:rFonts w:hint="default" w:ascii="Times New Roman" w:hAnsi="Times New Roman" w:cs="Times New Roman"/>
                <w:color w:val="000000" w:themeColor="text1"/>
                <w:sz w:val="24"/>
                <w:highlight w:val="none"/>
                <w14:textFill>
                  <w14:solidFill>
                    <w14:schemeClr w14:val="tx1"/>
                  </w14:solidFill>
                </w14:textFill>
              </w:rPr>
              <w:t>原辅材料等运输车辆主要集中在昼间，在途经路段附近有居民点路段时，均减速慢行、禁止鸣笛。</w:t>
            </w:r>
          </w:p>
          <w:p w14:paraId="3F24B5F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3、厂界达标性分析</w:t>
            </w:r>
          </w:p>
          <w:p w14:paraId="64A5A77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（1）噪声预测模式</w:t>
            </w:r>
          </w:p>
          <w:p w14:paraId="1889BDA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仅在昼间进行施工，噪声预测仅预测昼间噪声值。项目运营期间噪声污染源主要为设备运行噪声，项目通过对产噪设备进行基础减震、厂房隔声、合理布局的等措施，降低项目运行时噪声对周围环境的影响。项目噪声预测采用噪声衰减模式和多源叠加模式进行预测，具体模式如下：</w:t>
            </w:r>
          </w:p>
          <w:p w14:paraId="0D5650A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①噪声衰减模式</w:t>
            </w:r>
          </w:p>
          <w:p w14:paraId="1F24871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position w:val="-30"/>
                <w:sz w:val="24"/>
                <w:szCs w:val="24"/>
                <w:highlight w:val="none"/>
                <w14:textFill>
                  <w14:solidFill>
                    <w14:schemeClr w14:val="tx1"/>
                  </w14:solidFill>
                </w14:textFill>
              </w:rPr>
              <w:object>
                <v:shape id="_x0000_i1033" o:spt="75" type="#_x0000_t75" style="height:34pt;width:117pt;" o:ole="t" filled="f" o:preferrelative="t" stroked="f" coordsize="21600,21600">
                  <v:path/>
                  <v:fill on="f" focussize="0,0"/>
                  <v:stroke on="f" joinstyle="miter"/>
                  <v:imagedata r:id="rId34" o:title=""/>
                  <o:lock v:ext="edit" aspectratio="t"/>
                  <w10:wrap type="none"/>
                  <w10:anchorlock/>
                </v:shape>
                <o:OLEObject Type="Embed" ProgID="Equation.KSEE3" ShapeID="_x0000_i1033" DrawAspect="Content" ObjectID="_1468075733" r:id="rId33">
                  <o:LockedField>false</o:LockedField>
                </o:OLEObject>
              </w:object>
            </w:r>
          </w:p>
          <w:p w14:paraId="562949F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式中：L</w:t>
            </w:r>
            <w:r>
              <w:rPr>
                <w:rFonts w:hint="eastAsia"/>
                <w:color w:val="000000" w:themeColor="text1"/>
                <w:sz w:val="24"/>
                <w:szCs w:val="24"/>
                <w:highlight w:val="none"/>
                <w:vertAlign w:val="subscript"/>
                <w14:textFill>
                  <w14:solidFill>
                    <w14:schemeClr w14:val="tx1"/>
                  </w14:solidFill>
                </w14:textFill>
              </w:rPr>
              <w:t>A（r）</w:t>
            </w:r>
            <w:r>
              <w:rPr>
                <w:rFonts w:hint="eastAsia"/>
                <w:color w:val="000000" w:themeColor="text1"/>
                <w:sz w:val="24"/>
                <w:szCs w:val="24"/>
                <w:highlight w:val="none"/>
                <w14:textFill>
                  <w14:solidFill>
                    <w14:schemeClr w14:val="tx1"/>
                  </w14:solidFill>
                </w14:textFill>
              </w:rPr>
              <w:t>——距声源r处的声级值，dB；</w:t>
            </w:r>
          </w:p>
          <w:p w14:paraId="5100B17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L</w:t>
            </w:r>
            <w:r>
              <w:rPr>
                <w:rFonts w:hint="eastAsia"/>
                <w:color w:val="000000" w:themeColor="text1"/>
                <w:sz w:val="24"/>
                <w:szCs w:val="24"/>
                <w:highlight w:val="none"/>
                <w:vertAlign w:val="subscript"/>
                <w14:textFill>
                  <w14:solidFill>
                    <w14:schemeClr w14:val="tx1"/>
                  </w14:solidFill>
                </w14:textFill>
              </w:rPr>
              <w:t>A（r0）</w:t>
            </w:r>
            <w:r>
              <w:rPr>
                <w:rFonts w:hint="eastAsia"/>
                <w:color w:val="000000" w:themeColor="text1"/>
                <w:sz w:val="24"/>
                <w:szCs w:val="24"/>
                <w:highlight w:val="none"/>
                <w14:textFill>
                  <w14:solidFill>
                    <w14:schemeClr w14:val="tx1"/>
                  </w14:solidFill>
                </w14:textFill>
              </w:rPr>
              <w:t>——距声源r</w:t>
            </w:r>
            <w:r>
              <w:rPr>
                <w:rFonts w:hint="eastAsia"/>
                <w:color w:val="000000" w:themeColor="text1"/>
                <w:sz w:val="24"/>
                <w:szCs w:val="24"/>
                <w:highlight w:val="none"/>
                <w:vertAlign w:val="subscript"/>
                <w14:textFill>
                  <w14:solidFill>
                    <w14:schemeClr w14:val="tx1"/>
                  </w14:solidFill>
                </w14:textFill>
              </w:rPr>
              <w:t>0</w:t>
            </w:r>
            <w:r>
              <w:rPr>
                <w:rFonts w:hint="eastAsia"/>
                <w:color w:val="000000" w:themeColor="text1"/>
                <w:sz w:val="24"/>
                <w:szCs w:val="24"/>
                <w:highlight w:val="none"/>
                <w14:textFill>
                  <w14:solidFill>
                    <w14:schemeClr w14:val="tx1"/>
                  </w14:solidFill>
                </w14:textFill>
              </w:rPr>
              <w:t>处的声级值，dB；</w:t>
            </w:r>
          </w:p>
          <w:p w14:paraId="17E72BA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r，r</w:t>
            </w:r>
            <w:r>
              <w:rPr>
                <w:rFonts w:hint="eastAsia"/>
                <w:color w:val="000000" w:themeColor="text1"/>
                <w:sz w:val="24"/>
                <w:szCs w:val="24"/>
                <w:highlight w:val="none"/>
                <w:vertAlign w:val="subscript"/>
                <w14:textFill>
                  <w14:solidFill>
                    <w14:schemeClr w14:val="tx1"/>
                  </w14:solidFill>
                </w14:textFill>
              </w:rPr>
              <w:t>0</w:t>
            </w:r>
            <w:r>
              <w:rPr>
                <w:rFonts w:hint="eastAsia"/>
                <w:color w:val="000000" w:themeColor="text1"/>
                <w:sz w:val="24"/>
                <w:szCs w:val="24"/>
                <w:highlight w:val="none"/>
                <w14:textFill>
                  <w14:solidFill>
                    <w14:schemeClr w14:val="tx1"/>
                  </w14:solidFill>
                </w14:textFill>
              </w:rPr>
              <w:t>——为预测点距声源的距离，m。</w:t>
            </w:r>
          </w:p>
          <w:p w14:paraId="563BBBD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②多源叠加模式</w:t>
            </w:r>
          </w:p>
          <w:p w14:paraId="76E1D1B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对于任何一个预测点，其总噪声效应是多个叠加声级（即各声源分别在该点的贡献值和本底噪声值）的能量总和，其计算式如下：</w:t>
            </w:r>
          </w:p>
          <w:p w14:paraId="345BA21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position w:val="-14"/>
                <w:sz w:val="24"/>
                <w:szCs w:val="24"/>
                <w:highlight w:val="none"/>
                <w14:textFill>
                  <w14:solidFill>
                    <w14:schemeClr w14:val="tx1"/>
                  </w14:solidFill>
                </w14:textFill>
              </w:rPr>
              <w:object>
                <v:shape id="_x0000_i1034" o:spt="75" type="#_x0000_t75" style="height:20pt;width:96pt;" o:ole="t" filled="f" o:preferrelative="t" stroked="f" coordsize="21600,21600">
                  <v:path/>
                  <v:fill on="f" focussize="0,0"/>
                  <v:stroke on="f" joinstyle="miter"/>
                  <v:imagedata r:id="rId36" o:title=""/>
                  <o:lock v:ext="edit" aspectratio="t"/>
                  <w10:wrap type="none"/>
                  <w10:anchorlock/>
                </v:shape>
                <o:OLEObject Type="Embed" ProgID="Equation.KSEE3" ShapeID="_x0000_i1034" DrawAspect="Content" ObjectID="_1468075734" r:id="rId35">
                  <o:LockedField>false</o:LockedField>
                </o:OLEObject>
              </w:object>
            </w:r>
          </w:p>
          <w:p w14:paraId="3908DBE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式中：L——某点噪声总叠加值，dB（A）；</w:t>
            </w:r>
          </w:p>
          <w:p w14:paraId="29E1D9C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L</w:t>
            </w:r>
            <w:r>
              <w:rPr>
                <w:rFonts w:hint="eastAsia"/>
                <w:color w:val="000000" w:themeColor="text1"/>
                <w:sz w:val="24"/>
                <w:szCs w:val="24"/>
                <w:highlight w:val="none"/>
                <w:vertAlign w:val="subscript"/>
                <w14:textFill>
                  <w14:solidFill>
                    <w14:schemeClr w14:val="tx1"/>
                  </w14:solidFill>
                </w14:textFill>
              </w:rPr>
              <w:t>i</w:t>
            </w:r>
            <w:r>
              <w:rPr>
                <w:rFonts w:hint="eastAsia"/>
                <w:color w:val="000000" w:themeColor="text1"/>
                <w:sz w:val="24"/>
                <w:szCs w:val="24"/>
                <w:highlight w:val="none"/>
                <w14:textFill>
                  <w14:solidFill>
                    <w14:schemeClr w14:val="tx1"/>
                  </w14:solidFill>
                </w14:textFill>
              </w:rPr>
              <w:t>——第i个声源的噪声值，dB（A）。</w:t>
            </w:r>
          </w:p>
          <w:p w14:paraId="71C859A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（2）厂界预测结果</w:t>
            </w:r>
          </w:p>
          <w:p w14:paraId="5FE65E7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eastAsia="宋体"/>
                <w:b/>
                <w:bCs/>
                <w:color w:val="000000" w:themeColor="text1"/>
                <w:szCs w:val="21"/>
                <w:highlight w:val="none"/>
                <w:lang w:eastAsia="zh-CN"/>
                <w14:textFill>
                  <w14:solidFill>
                    <w14:schemeClr w14:val="tx1"/>
                  </w14:solidFill>
                </w14:textFill>
              </w:rPr>
            </w:pPr>
            <w:r>
              <w:rPr>
                <w:b/>
                <w:bCs/>
                <w:color w:val="000000" w:themeColor="text1"/>
                <w:szCs w:val="21"/>
                <w:highlight w:val="none"/>
                <w14:textFill>
                  <w14:solidFill>
                    <w14:schemeClr w14:val="tx1"/>
                  </w14:solidFill>
                </w14:textFill>
              </w:rPr>
              <w:t>表</w:t>
            </w:r>
            <w:r>
              <w:rPr>
                <w:rFonts w:hint="eastAsia"/>
                <w:b/>
                <w:bCs/>
                <w:color w:val="000000" w:themeColor="text1"/>
                <w:szCs w:val="21"/>
                <w:highlight w:val="none"/>
                <w14:textFill>
                  <w14:solidFill>
                    <w14:schemeClr w14:val="tx1"/>
                  </w14:solidFill>
                </w14:textFill>
              </w:rPr>
              <w:t>4-</w:t>
            </w:r>
            <w:r>
              <w:rPr>
                <w:rFonts w:hint="eastAsia"/>
                <w:b/>
                <w:bCs/>
                <w:color w:val="000000" w:themeColor="text1"/>
                <w:szCs w:val="21"/>
                <w:highlight w:val="none"/>
                <w:lang w:val="en-US" w:eastAsia="zh-CN"/>
                <w14:textFill>
                  <w14:solidFill>
                    <w14:schemeClr w14:val="tx1"/>
                  </w14:solidFill>
                </w14:textFill>
              </w:rPr>
              <w:t>10</w:t>
            </w:r>
            <w:r>
              <w:rPr>
                <w:rFonts w:hint="eastAsia"/>
                <w:b/>
                <w:bCs/>
                <w:color w:val="000000" w:themeColor="text1"/>
                <w:szCs w:val="21"/>
                <w:highlight w:val="none"/>
                <w14:textFill>
                  <w14:solidFill>
                    <w14:schemeClr w14:val="tx1"/>
                  </w14:solidFill>
                </w14:textFill>
              </w:rPr>
              <w:t xml:space="preserve">     项目厂界四周噪声预测结果</w:t>
            </w:r>
            <w:r>
              <w:rPr>
                <w:rFonts w:hint="eastAsia"/>
                <w:b/>
                <w:bCs/>
                <w:color w:val="000000" w:themeColor="text1"/>
                <w:szCs w:val="21"/>
                <w:highlight w:val="none"/>
                <w:lang w:eastAsia="zh-CN"/>
                <w14:textFill>
                  <w14:solidFill>
                    <w14:schemeClr w14:val="tx1"/>
                  </w14:solidFill>
                </w14:textFill>
              </w:rPr>
              <w:t>（单位：dB（A））</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484"/>
              <w:gridCol w:w="1302"/>
              <w:gridCol w:w="540"/>
              <w:gridCol w:w="541"/>
              <w:gridCol w:w="595"/>
              <w:gridCol w:w="1134"/>
              <w:gridCol w:w="453"/>
              <w:gridCol w:w="1219"/>
              <w:gridCol w:w="453"/>
              <w:gridCol w:w="1221"/>
            </w:tblGrid>
            <w:tr w14:paraId="1D372C8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97" w:hRule="atLeast"/>
                <w:tblHeader/>
                <w:jc w:val="center"/>
              </w:trPr>
              <w:tc>
                <w:tcPr>
                  <w:tcW w:w="484" w:type="dxa"/>
                  <w:vMerge w:val="restart"/>
                  <w:noWrap w:val="0"/>
                  <w:vAlign w:val="center"/>
                </w:tcPr>
                <w:p w14:paraId="1797840F">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序号</w:t>
                  </w:r>
                </w:p>
              </w:tc>
              <w:tc>
                <w:tcPr>
                  <w:tcW w:w="1302" w:type="dxa"/>
                  <w:vMerge w:val="restart"/>
                  <w:noWrap w:val="0"/>
                  <w:vAlign w:val="center"/>
                </w:tcPr>
                <w:p w14:paraId="26ACF862">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噪声源</w:t>
                  </w:r>
                </w:p>
              </w:tc>
              <w:tc>
                <w:tcPr>
                  <w:tcW w:w="540" w:type="dxa"/>
                  <w:vMerge w:val="restart"/>
                  <w:noWrap w:val="0"/>
                  <w:vAlign w:val="center"/>
                </w:tcPr>
                <w:p w14:paraId="66C5D354">
                  <w:pPr>
                    <w:adjustRightInd w:val="0"/>
                    <w:snapToGrid w:val="0"/>
                    <w:jc w:val="cente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数量</w:t>
                  </w:r>
                </w:p>
              </w:tc>
              <w:tc>
                <w:tcPr>
                  <w:tcW w:w="541" w:type="dxa"/>
                  <w:vMerge w:val="restart"/>
                  <w:noWrap w:val="0"/>
                  <w:vAlign w:val="center"/>
                </w:tcPr>
                <w:p w14:paraId="36DDA888">
                  <w:pPr>
                    <w:adjustRightInd w:val="0"/>
                    <w:snapToGrid w:val="0"/>
                    <w:jc w:val="center"/>
                    <w:rPr>
                      <w:rFonts w:hint="default" w:ascii="Times New Roman" w:hAnsi="Times New Roman" w:eastAsia="宋体" w:cs="Times New Roman"/>
                      <w:b w:val="0"/>
                      <w:bCs/>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源强</w:t>
                  </w:r>
                </w:p>
              </w:tc>
              <w:tc>
                <w:tcPr>
                  <w:tcW w:w="1729" w:type="dxa"/>
                  <w:gridSpan w:val="2"/>
                  <w:noWrap w:val="0"/>
                  <w:vAlign w:val="center"/>
                </w:tcPr>
                <w:p w14:paraId="6C226758">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制梁场</w:t>
                  </w:r>
                  <w:r>
                    <w:rPr>
                      <w:rFonts w:hint="default" w:ascii="Times New Roman" w:hAnsi="Times New Roman" w:eastAsia="宋体" w:cs="Times New Roman"/>
                      <w:b/>
                      <w:color w:val="000000" w:themeColor="text1"/>
                      <w:kern w:val="28"/>
                      <w:szCs w:val="21"/>
                      <w:highlight w:val="none"/>
                      <w14:textFill>
                        <w14:solidFill>
                          <w14:schemeClr w14:val="tx1"/>
                        </w14:solidFill>
                      </w14:textFill>
                    </w:rPr>
                    <w:t>东厂界（m）</w:t>
                  </w:r>
                </w:p>
              </w:tc>
              <w:tc>
                <w:tcPr>
                  <w:tcW w:w="1672" w:type="dxa"/>
                  <w:gridSpan w:val="2"/>
                  <w:noWrap w:val="0"/>
                  <w:vAlign w:val="center"/>
                </w:tcPr>
                <w:p w14:paraId="67FE9A23">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制梁场</w:t>
                  </w:r>
                  <w:r>
                    <w:rPr>
                      <w:rFonts w:hint="default" w:ascii="Times New Roman" w:hAnsi="Times New Roman" w:eastAsia="宋体" w:cs="Times New Roman"/>
                      <w:b/>
                      <w:color w:val="000000" w:themeColor="text1"/>
                      <w:kern w:val="28"/>
                      <w:szCs w:val="21"/>
                      <w:highlight w:val="none"/>
                      <w14:textFill>
                        <w14:solidFill>
                          <w14:schemeClr w14:val="tx1"/>
                        </w14:solidFill>
                      </w14:textFill>
                    </w:rPr>
                    <w:t>南厂界（m）</w:t>
                  </w:r>
                </w:p>
              </w:tc>
              <w:tc>
                <w:tcPr>
                  <w:tcW w:w="1674" w:type="dxa"/>
                  <w:gridSpan w:val="2"/>
                  <w:noWrap w:val="0"/>
                  <w:vAlign w:val="center"/>
                </w:tcPr>
                <w:p w14:paraId="3D381AB1">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北</w:t>
                  </w:r>
                  <w:r>
                    <w:rPr>
                      <w:rFonts w:hint="default" w:ascii="Times New Roman" w:hAnsi="Times New Roman" w:eastAsia="宋体" w:cs="Times New Roman"/>
                      <w:b/>
                      <w:color w:val="000000" w:themeColor="text1"/>
                      <w:kern w:val="28"/>
                      <w:szCs w:val="21"/>
                      <w:highlight w:val="none"/>
                      <w14:textFill>
                        <w14:solidFill>
                          <w14:schemeClr w14:val="tx1"/>
                        </w14:solidFill>
                      </w14:textFill>
                    </w:rPr>
                    <w:t>厂界（m）</w:t>
                  </w:r>
                </w:p>
              </w:tc>
            </w:tr>
            <w:tr w14:paraId="0E287C1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tblHeader/>
                <w:jc w:val="center"/>
              </w:trPr>
              <w:tc>
                <w:tcPr>
                  <w:tcW w:w="484" w:type="dxa"/>
                  <w:vMerge w:val="continue"/>
                  <w:noWrap w:val="0"/>
                  <w:vAlign w:val="center"/>
                </w:tcPr>
                <w:p w14:paraId="5CD0DB19">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1302" w:type="dxa"/>
                  <w:vMerge w:val="continue"/>
                  <w:noWrap w:val="0"/>
                  <w:vAlign w:val="center"/>
                </w:tcPr>
                <w:p w14:paraId="4E9E0CAF">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540" w:type="dxa"/>
                  <w:vMerge w:val="continue"/>
                  <w:noWrap w:val="0"/>
                  <w:vAlign w:val="center"/>
                </w:tcPr>
                <w:p w14:paraId="7274E678">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541" w:type="dxa"/>
                  <w:vMerge w:val="continue"/>
                  <w:noWrap w:val="0"/>
                  <w:vAlign w:val="center"/>
                </w:tcPr>
                <w:p w14:paraId="621C0029">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595" w:type="dxa"/>
                  <w:noWrap w:val="0"/>
                  <w:vAlign w:val="center"/>
                </w:tcPr>
                <w:p w14:paraId="0119E194">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1134" w:type="dxa"/>
                  <w:noWrap w:val="0"/>
                  <w:vAlign w:val="center"/>
                </w:tcPr>
                <w:p w14:paraId="4194226A">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453" w:type="dxa"/>
                  <w:noWrap w:val="0"/>
                  <w:vAlign w:val="center"/>
                </w:tcPr>
                <w:p w14:paraId="74C05AF4">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1219" w:type="dxa"/>
                  <w:noWrap w:val="0"/>
                  <w:vAlign w:val="center"/>
                </w:tcPr>
                <w:p w14:paraId="08D73795">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453" w:type="dxa"/>
                  <w:noWrap w:val="0"/>
                  <w:vAlign w:val="center"/>
                </w:tcPr>
                <w:p w14:paraId="56302CBA">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1221" w:type="dxa"/>
                  <w:noWrap w:val="0"/>
                  <w:vAlign w:val="center"/>
                </w:tcPr>
                <w:p w14:paraId="048A736D">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r>
            <w:tr w14:paraId="68A7A81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0EFE4688">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w:t>
                  </w:r>
                </w:p>
              </w:tc>
              <w:tc>
                <w:tcPr>
                  <w:tcW w:w="1302" w:type="dxa"/>
                  <w:noWrap w:val="0"/>
                  <w:vAlign w:val="center"/>
                </w:tcPr>
                <w:p w14:paraId="528041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楼</w:t>
                  </w:r>
                </w:p>
              </w:tc>
              <w:tc>
                <w:tcPr>
                  <w:tcW w:w="540" w:type="dxa"/>
                  <w:noWrap w:val="0"/>
                  <w:vAlign w:val="center"/>
                </w:tcPr>
                <w:p w14:paraId="55571BB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41" w:type="dxa"/>
                  <w:noWrap w:val="0"/>
                  <w:vAlign w:val="center"/>
                </w:tcPr>
                <w:p w14:paraId="2617548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95" w:type="dxa"/>
                  <w:noWrap w:val="0"/>
                  <w:vAlign w:val="center"/>
                </w:tcPr>
                <w:p w14:paraId="3196903B">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275</w:t>
                  </w:r>
                </w:p>
              </w:tc>
              <w:tc>
                <w:tcPr>
                  <w:tcW w:w="1134" w:type="dxa"/>
                  <w:noWrap w:val="0"/>
                  <w:vAlign w:val="center"/>
                </w:tcPr>
                <w:p w14:paraId="35318C2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453" w:type="dxa"/>
                  <w:noWrap w:val="0"/>
                  <w:vAlign w:val="center"/>
                </w:tcPr>
                <w:p w14:paraId="38D7551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172</w:t>
                  </w:r>
                </w:p>
              </w:tc>
              <w:tc>
                <w:tcPr>
                  <w:tcW w:w="1219" w:type="dxa"/>
                  <w:noWrap w:val="0"/>
                  <w:vAlign w:val="center"/>
                </w:tcPr>
                <w:p w14:paraId="368644D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453" w:type="dxa"/>
                  <w:noWrap w:val="0"/>
                  <w:vAlign w:val="center"/>
                </w:tcPr>
                <w:p w14:paraId="775200D2">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75</w:t>
                  </w:r>
                </w:p>
              </w:tc>
              <w:tc>
                <w:tcPr>
                  <w:tcW w:w="1221" w:type="dxa"/>
                  <w:noWrap w:val="0"/>
                  <w:vAlign w:val="center"/>
                </w:tcPr>
                <w:p w14:paraId="606CFC5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36</w:t>
                  </w:r>
                </w:p>
              </w:tc>
            </w:tr>
            <w:tr w14:paraId="0425367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0B93CF6B">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w:t>
                  </w:r>
                </w:p>
              </w:tc>
              <w:tc>
                <w:tcPr>
                  <w:tcW w:w="1302" w:type="dxa"/>
                  <w:noWrap w:val="0"/>
                  <w:vAlign w:val="center"/>
                </w:tcPr>
                <w:p w14:paraId="1A1BC9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540" w:type="dxa"/>
                  <w:noWrap w:val="0"/>
                  <w:vAlign w:val="center"/>
                </w:tcPr>
                <w:p w14:paraId="747DA48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41" w:type="dxa"/>
                  <w:noWrap w:val="0"/>
                  <w:vAlign w:val="center"/>
                </w:tcPr>
                <w:p w14:paraId="781BF79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70</w:t>
                  </w:r>
                </w:p>
              </w:tc>
              <w:tc>
                <w:tcPr>
                  <w:tcW w:w="595" w:type="dxa"/>
                  <w:noWrap w:val="0"/>
                  <w:vAlign w:val="center"/>
                </w:tcPr>
                <w:p w14:paraId="67910C3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283</w:t>
                  </w:r>
                </w:p>
              </w:tc>
              <w:tc>
                <w:tcPr>
                  <w:tcW w:w="1134" w:type="dxa"/>
                  <w:noWrap w:val="0"/>
                  <w:vAlign w:val="center"/>
                </w:tcPr>
                <w:p w14:paraId="36EB878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w:t>
                  </w:r>
                </w:p>
              </w:tc>
              <w:tc>
                <w:tcPr>
                  <w:tcW w:w="453" w:type="dxa"/>
                  <w:noWrap w:val="0"/>
                  <w:vAlign w:val="center"/>
                </w:tcPr>
                <w:p w14:paraId="1364FDF8">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175</w:t>
                  </w:r>
                </w:p>
              </w:tc>
              <w:tc>
                <w:tcPr>
                  <w:tcW w:w="1219" w:type="dxa"/>
                  <w:noWrap w:val="0"/>
                  <w:vAlign w:val="center"/>
                </w:tcPr>
                <w:p w14:paraId="2A27654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w:t>
                  </w:r>
                </w:p>
              </w:tc>
              <w:tc>
                <w:tcPr>
                  <w:tcW w:w="453" w:type="dxa"/>
                  <w:noWrap w:val="0"/>
                  <w:vAlign w:val="center"/>
                </w:tcPr>
                <w:p w14:paraId="6D52D98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94</w:t>
                  </w:r>
                </w:p>
              </w:tc>
              <w:tc>
                <w:tcPr>
                  <w:tcW w:w="1221" w:type="dxa"/>
                  <w:noWrap w:val="0"/>
                  <w:vAlign w:val="center"/>
                </w:tcPr>
                <w:p w14:paraId="0A32C0A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w:t>
                  </w:r>
                </w:p>
              </w:tc>
            </w:tr>
            <w:tr w14:paraId="1722AA2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4AF5547C">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3</w:t>
                  </w:r>
                </w:p>
              </w:tc>
              <w:tc>
                <w:tcPr>
                  <w:tcW w:w="1302" w:type="dxa"/>
                  <w:noWrap w:val="0"/>
                  <w:vAlign w:val="center"/>
                </w:tcPr>
                <w:p w14:paraId="13972A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p>
              </w:tc>
              <w:tc>
                <w:tcPr>
                  <w:tcW w:w="540" w:type="dxa"/>
                  <w:noWrap w:val="0"/>
                  <w:vAlign w:val="center"/>
                </w:tcPr>
                <w:p w14:paraId="7D20CE3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699B16C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1EC21DD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305</w:t>
                  </w:r>
                </w:p>
              </w:tc>
              <w:tc>
                <w:tcPr>
                  <w:tcW w:w="1134" w:type="dxa"/>
                  <w:noWrap w:val="0"/>
                  <w:vAlign w:val="center"/>
                </w:tcPr>
                <w:p w14:paraId="2A0D405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15</w:t>
                  </w:r>
                </w:p>
              </w:tc>
              <w:tc>
                <w:tcPr>
                  <w:tcW w:w="453" w:type="dxa"/>
                  <w:noWrap w:val="0"/>
                  <w:vAlign w:val="center"/>
                </w:tcPr>
                <w:p w14:paraId="517477F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198</w:t>
                  </w:r>
                </w:p>
              </w:tc>
              <w:tc>
                <w:tcPr>
                  <w:tcW w:w="1219" w:type="dxa"/>
                  <w:noWrap w:val="0"/>
                  <w:vAlign w:val="center"/>
                </w:tcPr>
                <w:p w14:paraId="33DCC40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c>
                <w:tcPr>
                  <w:tcW w:w="453" w:type="dxa"/>
                  <w:noWrap w:val="0"/>
                  <w:vAlign w:val="center"/>
                </w:tcPr>
                <w:p w14:paraId="56BF8B6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145</w:t>
                  </w:r>
                </w:p>
              </w:tc>
              <w:tc>
                <w:tcPr>
                  <w:tcW w:w="1221" w:type="dxa"/>
                  <w:noWrap w:val="0"/>
                  <w:vAlign w:val="center"/>
                </w:tcPr>
                <w:p w14:paraId="62F1080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r>
            <w:tr w14:paraId="110D1B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3F6DA7FD">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4</w:t>
                  </w:r>
                </w:p>
              </w:tc>
              <w:tc>
                <w:tcPr>
                  <w:tcW w:w="1302" w:type="dxa"/>
                  <w:noWrap w:val="0"/>
                  <w:vAlign w:val="center"/>
                </w:tcPr>
                <w:p w14:paraId="68ABF9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砂石分离机</w:t>
                  </w:r>
                </w:p>
              </w:tc>
              <w:tc>
                <w:tcPr>
                  <w:tcW w:w="540" w:type="dxa"/>
                  <w:noWrap w:val="0"/>
                  <w:vAlign w:val="center"/>
                </w:tcPr>
                <w:p w14:paraId="6504955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368AACA1">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95" w:type="dxa"/>
                  <w:noWrap w:val="0"/>
                  <w:vAlign w:val="center"/>
                </w:tcPr>
                <w:p w14:paraId="49A34F3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380</w:t>
                  </w:r>
                </w:p>
              </w:tc>
              <w:tc>
                <w:tcPr>
                  <w:tcW w:w="1134" w:type="dxa"/>
                  <w:noWrap w:val="0"/>
                  <w:vAlign w:val="center"/>
                </w:tcPr>
                <w:p w14:paraId="4072CAA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453" w:type="dxa"/>
                  <w:noWrap w:val="0"/>
                  <w:vAlign w:val="center"/>
                </w:tcPr>
                <w:p w14:paraId="0C9881DE">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281</w:t>
                  </w:r>
                </w:p>
              </w:tc>
              <w:tc>
                <w:tcPr>
                  <w:tcW w:w="1219" w:type="dxa"/>
                  <w:noWrap w:val="0"/>
                  <w:vAlign w:val="center"/>
                </w:tcPr>
                <w:p w14:paraId="221A340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c>
                <w:tcPr>
                  <w:tcW w:w="453" w:type="dxa"/>
                  <w:noWrap w:val="0"/>
                  <w:vAlign w:val="center"/>
                </w:tcPr>
                <w:p w14:paraId="7D5AA6EE">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55</w:t>
                  </w:r>
                </w:p>
              </w:tc>
              <w:tc>
                <w:tcPr>
                  <w:tcW w:w="1221" w:type="dxa"/>
                  <w:noWrap w:val="0"/>
                  <w:vAlign w:val="center"/>
                </w:tcPr>
                <w:p w14:paraId="28318EC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35</w:t>
                  </w:r>
                </w:p>
              </w:tc>
            </w:tr>
            <w:tr w14:paraId="697D353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6728BA31">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5</w:t>
                  </w:r>
                </w:p>
              </w:tc>
              <w:tc>
                <w:tcPr>
                  <w:tcW w:w="1302" w:type="dxa"/>
                  <w:noWrap w:val="0"/>
                  <w:vAlign w:val="center"/>
                </w:tcPr>
                <w:p w14:paraId="711F01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压滤机</w:t>
                  </w:r>
                </w:p>
              </w:tc>
              <w:tc>
                <w:tcPr>
                  <w:tcW w:w="540" w:type="dxa"/>
                  <w:noWrap w:val="0"/>
                  <w:vAlign w:val="center"/>
                </w:tcPr>
                <w:p w14:paraId="0E07C11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2331665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63403B9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362</w:t>
                  </w:r>
                </w:p>
              </w:tc>
              <w:tc>
                <w:tcPr>
                  <w:tcW w:w="1134" w:type="dxa"/>
                  <w:noWrap w:val="0"/>
                  <w:vAlign w:val="center"/>
                </w:tcPr>
                <w:p w14:paraId="6C20EA8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w:t>
                  </w:r>
                </w:p>
              </w:tc>
              <w:tc>
                <w:tcPr>
                  <w:tcW w:w="453" w:type="dxa"/>
                  <w:noWrap w:val="0"/>
                  <w:vAlign w:val="center"/>
                </w:tcPr>
                <w:p w14:paraId="4C30A6E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263</w:t>
                  </w:r>
                </w:p>
              </w:tc>
              <w:tc>
                <w:tcPr>
                  <w:tcW w:w="1219" w:type="dxa"/>
                  <w:noWrap w:val="0"/>
                  <w:vAlign w:val="center"/>
                </w:tcPr>
                <w:p w14:paraId="6B55859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c>
                <w:tcPr>
                  <w:tcW w:w="453" w:type="dxa"/>
                  <w:noWrap w:val="0"/>
                  <w:vAlign w:val="center"/>
                </w:tcPr>
                <w:p w14:paraId="05A54DDA">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58</w:t>
                  </w:r>
                </w:p>
              </w:tc>
              <w:tc>
                <w:tcPr>
                  <w:tcW w:w="1221" w:type="dxa"/>
                  <w:noWrap w:val="0"/>
                  <w:vAlign w:val="center"/>
                </w:tcPr>
                <w:p w14:paraId="1CFBBEB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r>
            <w:tr w14:paraId="422AD90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0AF52586">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6</w:t>
                  </w:r>
                </w:p>
              </w:tc>
              <w:tc>
                <w:tcPr>
                  <w:tcW w:w="1302" w:type="dxa"/>
                  <w:noWrap w:val="0"/>
                  <w:vAlign w:val="center"/>
                </w:tcPr>
                <w:p w14:paraId="40CEC2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备用发电机</w:t>
                  </w:r>
                </w:p>
              </w:tc>
              <w:tc>
                <w:tcPr>
                  <w:tcW w:w="540" w:type="dxa"/>
                  <w:noWrap w:val="0"/>
                  <w:vAlign w:val="center"/>
                </w:tcPr>
                <w:p w14:paraId="08C1465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5EADC2EB">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95" w:type="dxa"/>
                  <w:noWrap w:val="0"/>
                  <w:vAlign w:val="center"/>
                </w:tcPr>
                <w:p w14:paraId="4295F09B">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246</w:t>
                  </w:r>
                </w:p>
              </w:tc>
              <w:tc>
                <w:tcPr>
                  <w:tcW w:w="1134" w:type="dxa"/>
                  <w:noWrap w:val="0"/>
                  <w:vAlign w:val="center"/>
                </w:tcPr>
                <w:p w14:paraId="4C44A11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c>
                <w:tcPr>
                  <w:tcW w:w="453" w:type="dxa"/>
                  <w:noWrap w:val="0"/>
                  <w:vAlign w:val="center"/>
                </w:tcPr>
                <w:p w14:paraId="3CB50EE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131</w:t>
                  </w:r>
                </w:p>
              </w:tc>
              <w:tc>
                <w:tcPr>
                  <w:tcW w:w="1219" w:type="dxa"/>
                  <w:noWrap w:val="0"/>
                  <w:vAlign w:val="center"/>
                </w:tcPr>
                <w:p w14:paraId="29B0FA0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453" w:type="dxa"/>
                  <w:noWrap w:val="0"/>
                  <w:vAlign w:val="center"/>
                </w:tcPr>
                <w:p w14:paraId="208CE8C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71</w:t>
                  </w:r>
                </w:p>
              </w:tc>
              <w:tc>
                <w:tcPr>
                  <w:tcW w:w="1221" w:type="dxa"/>
                  <w:noWrap w:val="0"/>
                  <w:vAlign w:val="center"/>
                </w:tcPr>
                <w:p w14:paraId="1615CD1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r>
            <w:tr w14:paraId="6B88D69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4804F054">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7</w:t>
                  </w:r>
                </w:p>
              </w:tc>
              <w:tc>
                <w:tcPr>
                  <w:tcW w:w="1302" w:type="dxa"/>
                  <w:noWrap w:val="0"/>
                  <w:vAlign w:val="center"/>
                </w:tcPr>
                <w:p w14:paraId="41FA07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钢筋弯曲中心</w:t>
                  </w:r>
                </w:p>
              </w:tc>
              <w:tc>
                <w:tcPr>
                  <w:tcW w:w="540" w:type="dxa"/>
                  <w:noWrap w:val="0"/>
                  <w:vAlign w:val="center"/>
                </w:tcPr>
                <w:p w14:paraId="21934F9D">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1955E8F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595" w:type="dxa"/>
                  <w:noWrap w:val="0"/>
                  <w:vAlign w:val="center"/>
                </w:tcPr>
                <w:p w14:paraId="223CC8E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321</w:t>
                  </w:r>
                </w:p>
              </w:tc>
              <w:tc>
                <w:tcPr>
                  <w:tcW w:w="1134" w:type="dxa"/>
                  <w:noWrap w:val="0"/>
                  <w:vAlign w:val="center"/>
                </w:tcPr>
                <w:p w14:paraId="06BFCC7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w:t>
                  </w:r>
                </w:p>
              </w:tc>
              <w:tc>
                <w:tcPr>
                  <w:tcW w:w="453" w:type="dxa"/>
                  <w:noWrap w:val="0"/>
                  <w:vAlign w:val="center"/>
                </w:tcPr>
                <w:p w14:paraId="2C7EAD98">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206</w:t>
                  </w:r>
                </w:p>
              </w:tc>
              <w:tc>
                <w:tcPr>
                  <w:tcW w:w="1219" w:type="dxa"/>
                  <w:noWrap w:val="0"/>
                  <w:vAlign w:val="center"/>
                </w:tcPr>
                <w:p w14:paraId="341E292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w:t>
                  </w:r>
                </w:p>
              </w:tc>
              <w:tc>
                <w:tcPr>
                  <w:tcW w:w="453" w:type="dxa"/>
                  <w:noWrap w:val="0"/>
                  <w:vAlign w:val="center"/>
                </w:tcPr>
                <w:p w14:paraId="1121A78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86</w:t>
                  </w:r>
                </w:p>
              </w:tc>
              <w:tc>
                <w:tcPr>
                  <w:tcW w:w="1221" w:type="dxa"/>
                  <w:noWrap w:val="0"/>
                  <w:vAlign w:val="center"/>
                </w:tcPr>
                <w:p w14:paraId="4147E75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r>
            <w:tr w14:paraId="7B62107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34183F3D">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8</w:t>
                  </w:r>
                </w:p>
              </w:tc>
              <w:tc>
                <w:tcPr>
                  <w:tcW w:w="1302" w:type="dxa"/>
                  <w:noWrap w:val="0"/>
                  <w:vAlign w:val="center"/>
                </w:tcPr>
                <w:p w14:paraId="3D4972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钢筋弯曲机</w:t>
                  </w:r>
                </w:p>
              </w:tc>
              <w:tc>
                <w:tcPr>
                  <w:tcW w:w="540" w:type="dxa"/>
                  <w:noWrap w:val="0"/>
                  <w:vAlign w:val="center"/>
                </w:tcPr>
                <w:p w14:paraId="4F4F55B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4</w:t>
                  </w:r>
                </w:p>
              </w:tc>
              <w:tc>
                <w:tcPr>
                  <w:tcW w:w="541" w:type="dxa"/>
                  <w:noWrap w:val="0"/>
                  <w:vAlign w:val="center"/>
                </w:tcPr>
                <w:p w14:paraId="710C23D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595" w:type="dxa"/>
                  <w:noWrap w:val="0"/>
                  <w:vAlign w:val="center"/>
                </w:tcPr>
                <w:p w14:paraId="4B946322">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316</w:t>
                  </w:r>
                </w:p>
              </w:tc>
              <w:tc>
                <w:tcPr>
                  <w:tcW w:w="1134" w:type="dxa"/>
                  <w:noWrap w:val="0"/>
                  <w:vAlign w:val="center"/>
                </w:tcPr>
                <w:p w14:paraId="24A6800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w:t>
                  </w:r>
                </w:p>
              </w:tc>
              <w:tc>
                <w:tcPr>
                  <w:tcW w:w="453" w:type="dxa"/>
                  <w:noWrap w:val="0"/>
                  <w:vAlign w:val="center"/>
                </w:tcPr>
                <w:p w14:paraId="304091B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214</w:t>
                  </w:r>
                </w:p>
              </w:tc>
              <w:tc>
                <w:tcPr>
                  <w:tcW w:w="1219" w:type="dxa"/>
                  <w:noWrap w:val="0"/>
                  <w:vAlign w:val="center"/>
                </w:tcPr>
                <w:p w14:paraId="29AC283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c>
                <w:tcPr>
                  <w:tcW w:w="453" w:type="dxa"/>
                  <w:noWrap w:val="0"/>
                  <w:vAlign w:val="center"/>
                </w:tcPr>
                <w:p w14:paraId="4C766A6A">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80</w:t>
                  </w:r>
                </w:p>
              </w:tc>
              <w:tc>
                <w:tcPr>
                  <w:tcW w:w="1221" w:type="dxa"/>
                  <w:noWrap w:val="0"/>
                  <w:vAlign w:val="center"/>
                </w:tcPr>
                <w:p w14:paraId="3017AC3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r>
            <w:tr w14:paraId="22A34A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64E8E62B">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9</w:t>
                  </w:r>
                </w:p>
              </w:tc>
              <w:tc>
                <w:tcPr>
                  <w:tcW w:w="1302" w:type="dxa"/>
                  <w:noWrap w:val="0"/>
                  <w:vAlign w:val="center"/>
                </w:tcPr>
                <w:p w14:paraId="4F6B74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钢筋车丝机</w:t>
                  </w:r>
                </w:p>
              </w:tc>
              <w:tc>
                <w:tcPr>
                  <w:tcW w:w="540" w:type="dxa"/>
                  <w:noWrap w:val="0"/>
                  <w:vAlign w:val="center"/>
                </w:tcPr>
                <w:p w14:paraId="18A6ACB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p>
              </w:tc>
              <w:tc>
                <w:tcPr>
                  <w:tcW w:w="541" w:type="dxa"/>
                  <w:noWrap w:val="0"/>
                  <w:vAlign w:val="center"/>
                </w:tcPr>
                <w:p w14:paraId="38FD627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534CF0DA">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325</w:t>
                  </w:r>
                </w:p>
              </w:tc>
              <w:tc>
                <w:tcPr>
                  <w:tcW w:w="1134" w:type="dxa"/>
                  <w:noWrap w:val="0"/>
                  <w:vAlign w:val="center"/>
                </w:tcPr>
                <w:p w14:paraId="33A4242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453" w:type="dxa"/>
                  <w:noWrap w:val="0"/>
                  <w:vAlign w:val="center"/>
                </w:tcPr>
                <w:p w14:paraId="1EC6EAAB">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217</w:t>
                  </w:r>
                </w:p>
              </w:tc>
              <w:tc>
                <w:tcPr>
                  <w:tcW w:w="1219" w:type="dxa"/>
                  <w:noWrap w:val="0"/>
                  <w:vAlign w:val="center"/>
                </w:tcPr>
                <w:p w14:paraId="7948E0E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453" w:type="dxa"/>
                  <w:noWrap w:val="0"/>
                  <w:vAlign w:val="center"/>
                </w:tcPr>
                <w:p w14:paraId="4369F59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66</w:t>
                  </w:r>
                </w:p>
              </w:tc>
              <w:tc>
                <w:tcPr>
                  <w:tcW w:w="1221" w:type="dxa"/>
                  <w:noWrap w:val="0"/>
                  <w:vAlign w:val="center"/>
                </w:tcPr>
                <w:p w14:paraId="3E0B2E1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r>
            <w:tr w14:paraId="7DF17C2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175E871E">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10</w:t>
                  </w:r>
                </w:p>
              </w:tc>
              <w:tc>
                <w:tcPr>
                  <w:tcW w:w="1302" w:type="dxa"/>
                  <w:noWrap w:val="0"/>
                  <w:vAlign w:val="center"/>
                </w:tcPr>
                <w:p w14:paraId="3E8967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交流电焊机</w:t>
                  </w:r>
                </w:p>
              </w:tc>
              <w:tc>
                <w:tcPr>
                  <w:tcW w:w="540" w:type="dxa"/>
                  <w:noWrap w:val="0"/>
                  <w:vAlign w:val="center"/>
                </w:tcPr>
                <w:p w14:paraId="2CBD434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w:t>
                  </w:r>
                </w:p>
              </w:tc>
              <w:tc>
                <w:tcPr>
                  <w:tcW w:w="541" w:type="dxa"/>
                  <w:noWrap w:val="0"/>
                  <w:vAlign w:val="center"/>
                </w:tcPr>
                <w:p w14:paraId="20BEFA7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326EE0B7">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310</w:t>
                  </w:r>
                </w:p>
              </w:tc>
              <w:tc>
                <w:tcPr>
                  <w:tcW w:w="1134" w:type="dxa"/>
                  <w:noWrap w:val="0"/>
                  <w:vAlign w:val="center"/>
                </w:tcPr>
                <w:p w14:paraId="49B103B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453" w:type="dxa"/>
                  <w:noWrap w:val="0"/>
                  <w:vAlign w:val="center"/>
                </w:tcPr>
                <w:p w14:paraId="69279AC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216</w:t>
                  </w:r>
                </w:p>
              </w:tc>
              <w:tc>
                <w:tcPr>
                  <w:tcW w:w="1219" w:type="dxa"/>
                  <w:noWrap w:val="0"/>
                  <w:vAlign w:val="center"/>
                </w:tcPr>
                <w:p w14:paraId="2AC8361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453" w:type="dxa"/>
                  <w:noWrap w:val="0"/>
                  <w:vAlign w:val="center"/>
                </w:tcPr>
                <w:p w14:paraId="649B89D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81</w:t>
                  </w:r>
                </w:p>
              </w:tc>
              <w:tc>
                <w:tcPr>
                  <w:tcW w:w="1221" w:type="dxa"/>
                  <w:noWrap w:val="0"/>
                  <w:vAlign w:val="center"/>
                </w:tcPr>
                <w:p w14:paraId="270D309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36</w:t>
                  </w:r>
                </w:p>
              </w:tc>
            </w:tr>
            <w:tr w14:paraId="22D6FC0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2FC79B57">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11</w:t>
                  </w:r>
                </w:p>
              </w:tc>
              <w:tc>
                <w:tcPr>
                  <w:tcW w:w="1302" w:type="dxa"/>
                  <w:noWrap w:val="0"/>
                  <w:vAlign w:val="center"/>
                </w:tcPr>
                <w:p w14:paraId="662506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钢筋笼滚焊机</w:t>
                  </w:r>
                </w:p>
              </w:tc>
              <w:tc>
                <w:tcPr>
                  <w:tcW w:w="540" w:type="dxa"/>
                  <w:noWrap w:val="0"/>
                  <w:vAlign w:val="center"/>
                </w:tcPr>
                <w:p w14:paraId="3364E0EB">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20EA6884">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5FF6AF2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316</w:t>
                  </w:r>
                </w:p>
              </w:tc>
              <w:tc>
                <w:tcPr>
                  <w:tcW w:w="1134" w:type="dxa"/>
                  <w:noWrap w:val="0"/>
                  <w:vAlign w:val="center"/>
                </w:tcPr>
                <w:p w14:paraId="31DDAE9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15</w:t>
                  </w:r>
                </w:p>
              </w:tc>
              <w:tc>
                <w:tcPr>
                  <w:tcW w:w="453" w:type="dxa"/>
                  <w:noWrap w:val="0"/>
                  <w:vAlign w:val="center"/>
                </w:tcPr>
                <w:p w14:paraId="71DB3B0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195</w:t>
                  </w:r>
                </w:p>
              </w:tc>
              <w:tc>
                <w:tcPr>
                  <w:tcW w:w="1219" w:type="dxa"/>
                  <w:noWrap w:val="0"/>
                  <w:vAlign w:val="center"/>
                </w:tcPr>
                <w:p w14:paraId="4CEF8DE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c>
                <w:tcPr>
                  <w:tcW w:w="453" w:type="dxa"/>
                  <w:noWrap w:val="0"/>
                  <w:vAlign w:val="center"/>
                </w:tcPr>
                <w:p w14:paraId="6BD6B96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79</w:t>
                  </w:r>
                </w:p>
              </w:tc>
              <w:tc>
                <w:tcPr>
                  <w:tcW w:w="1221" w:type="dxa"/>
                  <w:noWrap w:val="0"/>
                  <w:vAlign w:val="center"/>
                </w:tcPr>
                <w:p w14:paraId="01A6E3C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r>
            <w:tr w14:paraId="13DFC4A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2E8F299C">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12</w:t>
                  </w:r>
                </w:p>
              </w:tc>
              <w:tc>
                <w:tcPr>
                  <w:tcW w:w="1302" w:type="dxa"/>
                  <w:noWrap w:val="0"/>
                  <w:vAlign w:val="center"/>
                </w:tcPr>
                <w:p w14:paraId="69327B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钢筋断筋机</w:t>
                  </w:r>
                </w:p>
              </w:tc>
              <w:tc>
                <w:tcPr>
                  <w:tcW w:w="540" w:type="dxa"/>
                  <w:noWrap w:val="0"/>
                  <w:vAlign w:val="center"/>
                </w:tcPr>
                <w:p w14:paraId="406FB01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41" w:type="dxa"/>
                  <w:noWrap w:val="0"/>
                  <w:vAlign w:val="center"/>
                </w:tcPr>
                <w:p w14:paraId="2C7D171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95" w:type="dxa"/>
                  <w:noWrap w:val="0"/>
                  <w:vAlign w:val="center"/>
                </w:tcPr>
                <w:p w14:paraId="15ED316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320</w:t>
                  </w:r>
                </w:p>
              </w:tc>
              <w:tc>
                <w:tcPr>
                  <w:tcW w:w="1134" w:type="dxa"/>
                  <w:noWrap w:val="0"/>
                  <w:vAlign w:val="center"/>
                </w:tcPr>
                <w:p w14:paraId="590AFD6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453" w:type="dxa"/>
                  <w:noWrap w:val="0"/>
                  <w:vAlign w:val="center"/>
                </w:tcPr>
                <w:p w14:paraId="4B9D000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202</w:t>
                  </w:r>
                </w:p>
              </w:tc>
              <w:tc>
                <w:tcPr>
                  <w:tcW w:w="1219" w:type="dxa"/>
                  <w:noWrap w:val="0"/>
                  <w:vAlign w:val="center"/>
                </w:tcPr>
                <w:p w14:paraId="41E5496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453" w:type="dxa"/>
                  <w:noWrap w:val="0"/>
                  <w:vAlign w:val="center"/>
                </w:tcPr>
                <w:p w14:paraId="3D6969B2">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91</w:t>
                  </w:r>
                </w:p>
              </w:tc>
              <w:tc>
                <w:tcPr>
                  <w:tcW w:w="1221" w:type="dxa"/>
                  <w:noWrap w:val="0"/>
                  <w:vAlign w:val="center"/>
                </w:tcPr>
                <w:p w14:paraId="49BFDFF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34</w:t>
                  </w:r>
                </w:p>
              </w:tc>
            </w:tr>
            <w:tr w14:paraId="08A22DB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744449AC">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13</w:t>
                  </w:r>
                </w:p>
              </w:tc>
              <w:tc>
                <w:tcPr>
                  <w:tcW w:w="1302" w:type="dxa"/>
                  <w:noWrap w:val="0"/>
                  <w:vAlign w:val="center"/>
                </w:tcPr>
                <w:p w14:paraId="5D3588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智能张拉设备</w:t>
                  </w:r>
                </w:p>
              </w:tc>
              <w:tc>
                <w:tcPr>
                  <w:tcW w:w="540" w:type="dxa"/>
                  <w:noWrap w:val="0"/>
                  <w:vAlign w:val="center"/>
                </w:tcPr>
                <w:p w14:paraId="1066D7D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2A631BD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95" w:type="dxa"/>
                  <w:noWrap w:val="0"/>
                  <w:vAlign w:val="center"/>
                </w:tcPr>
                <w:p w14:paraId="6652C4E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126</w:t>
                  </w:r>
                </w:p>
              </w:tc>
              <w:tc>
                <w:tcPr>
                  <w:tcW w:w="1134" w:type="dxa"/>
                  <w:noWrap w:val="0"/>
                  <w:vAlign w:val="center"/>
                </w:tcPr>
                <w:p w14:paraId="5BE8AC9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453" w:type="dxa"/>
                  <w:noWrap w:val="0"/>
                  <w:vAlign w:val="center"/>
                </w:tcPr>
                <w:p w14:paraId="3BFE8F2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25</w:t>
                  </w:r>
                </w:p>
              </w:tc>
              <w:tc>
                <w:tcPr>
                  <w:tcW w:w="1219" w:type="dxa"/>
                  <w:noWrap w:val="0"/>
                  <w:vAlign w:val="center"/>
                </w:tcPr>
                <w:p w14:paraId="05C5D01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42</w:t>
                  </w:r>
                </w:p>
              </w:tc>
              <w:tc>
                <w:tcPr>
                  <w:tcW w:w="453" w:type="dxa"/>
                  <w:noWrap w:val="0"/>
                  <w:vAlign w:val="center"/>
                </w:tcPr>
                <w:p w14:paraId="23718040">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24</w:t>
                  </w:r>
                </w:p>
              </w:tc>
              <w:tc>
                <w:tcPr>
                  <w:tcW w:w="1221" w:type="dxa"/>
                  <w:noWrap w:val="0"/>
                  <w:vAlign w:val="center"/>
                </w:tcPr>
                <w:p w14:paraId="7AD8B67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42</w:t>
                  </w:r>
                </w:p>
              </w:tc>
            </w:tr>
            <w:tr w14:paraId="38C2701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0E338DBB">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14</w:t>
                  </w:r>
                </w:p>
              </w:tc>
              <w:tc>
                <w:tcPr>
                  <w:tcW w:w="1302" w:type="dxa"/>
                  <w:noWrap w:val="0"/>
                  <w:vAlign w:val="center"/>
                </w:tcPr>
                <w:p w14:paraId="3D7D911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智能压浆设备</w:t>
                  </w:r>
                </w:p>
              </w:tc>
              <w:tc>
                <w:tcPr>
                  <w:tcW w:w="540" w:type="dxa"/>
                  <w:noWrap w:val="0"/>
                  <w:vAlign w:val="center"/>
                </w:tcPr>
                <w:p w14:paraId="0973E61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21A76E1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595" w:type="dxa"/>
                  <w:noWrap w:val="0"/>
                  <w:vAlign w:val="center"/>
                </w:tcPr>
                <w:p w14:paraId="6987A1E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146</w:t>
                  </w:r>
                </w:p>
              </w:tc>
              <w:tc>
                <w:tcPr>
                  <w:tcW w:w="1134" w:type="dxa"/>
                  <w:noWrap w:val="0"/>
                  <w:vAlign w:val="center"/>
                </w:tcPr>
                <w:p w14:paraId="46C541B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c>
                <w:tcPr>
                  <w:tcW w:w="453" w:type="dxa"/>
                  <w:noWrap w:val="0"/>
                  <w:vAlign w:val="center"/>
                </w:tcPr>
                <w:p w14:paraId="35B03820">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28</w:t>
                  </w:r>
                </w:p>
              </w:tc>
              <w:tc>
                <w:tcPr>
                  <w:tcW w:w="1219" w:type="dxa"/>
                  <w:noWrap w:val="0"/>
                  <w:vAlign w:val="center"/>
                </w:tcPr>
                <w:p w14:paraId="4E6EF2E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31</w:t>
                  </w:r>
                </w:p>
              </w:tc>
              <w:tc>
                <w:tcPr>
                  <w:tcW w:w="453" w:type="dxa"/>
                  <w:noWrap w:val="0"/>
                  <w:vAlign w:val="center"/>
                </w:tcPr>
                <w:p w14:paraId="5B88100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24</w:t>
                  </w:r>
                </w:p>
              </w:tc>
              <w:tc>
                <w:tcPr>
                  <w:tcW w:w="1221" w:type="dxa"/>
                  <w:noWrap w:val="0"/>
                  <w:vAlign w:val="center"/>
                </w:tcPr>
                <w:p w14:paraId="41C55F4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32</w:t>
                  </w:r>
                </w:p>
              </w:tc>
            </w:tr>
            <w:tr w14:paraId="3D7EB8F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111B1BA6">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15</w:t>
                  </w:r>
                </w:p>
              </w:tc>
              <w:tc>
                <w:tcPr>
                  <w:tcW w:w="1302" w:type="dxa"/>
                  <w:noWrap w:val="0"/>
                  <w:vAlign w:val="center"/>
                </w:tcPr>
                <w:p w14:paraId="6F419C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自动喷淋养护系统</w:t>
                  </w:r>
                </w:p>
              </w:tc>
              <w:tc>
                <w:tcPr>
                  <w:tcW w:w="540" w:type="dxa"/>
                  <w:noWrap w:val="0"/>
                  <w:vAlign w:val="center"/>
                </w:tcPr>
                <w:p w14:paraId="0911B6AD">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29221F1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74EBEA2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47</w:t>
                  </w:r>
                </w:p>
              </w:tc>
              <w:tc>
                <w:tcPr>
                  <w:tcW w:w="1134" w:type="dxa"/>
                  <w:noWrap w:val="0"/>
                  <w:vAlign w:val="center"/>
                </w:tcPr>
                <w:p w14:paraId="668C856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32</w:t>
                  </w:r>
                </w:p>
              </w:tc>
              <w:tc>
                <w:tcPr>
                  <w:tcW w:w="453" w:type="dxa"/>
                  <w:noWrap w:val="0"/>
                  <w:vAlign w:val="center"/>
                </w:tcPr>
                <w:p w14:paraId="7301734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22</w:t>
                  </w:r>
                </w:p>
              </w:tc>
              <w:tc>
                <w:tcPr>
                  <w:tcW w:w="1219" w:type="dxa"/>
                  <w:noWrap w:val="0"/>
                  <w:vAlign w:val="center"/>
                </w:tcPr>
                <w:p w14:paraId="5F689AA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38</w:t>
                  </w:r>
                </w:p>
              </w:tc>
              <w:tc>
                <w:tcPr>
                  <w:tcW w:w="453" w:type="dxa"/>
                  <w:noWrap w:val="0"/>
                  <w:vAlign w:val="center"/>
                </w:tcPr>
                <w:p w14:paraId="0985126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26</w:t>
                  </w:r>
                </w:p>
              </w:tc>
              <w:tc>
                <w:tcPr>
                  <w:tcW w:w="1221" w:type="dxa"/>
                  <w:noWrap w:val="0"/>
                  <w:vAlign w:val="center"/>
                </w:tcPr>
                <w:p w14:paraId="33E0F27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37</w:t>
                  </w:r>
                </w:p>
              </w:tc>
            </w:tr>
            <w:tr w14:paraId="3CC66B2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402C310D">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16</w:t>
                  </w:r>
                </w:p>
              </w:tc>
              <w:tc>
                <w:tcPr>
                  <w:tcW w:w="1302" w:type="dxa"/>
                  <w:noWrap w:val="0"/>
                  <w:vAlign w:val="center"/>
                </w:tcPr>
                <w:p w14:paraId="1D0492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540" w:type="dxa"/>
                  <w:noWrap w:val="0"/>
                  <w:vAlign w:val="center"/>
                </w:tcPr>
                <w:p w14:paraId="47EFDA6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41" w:type="dxa"/>
                  <w:noWrap w:val="0"/>
                  <w:vAlign w:val="center"/>
                </w:tcPr>
                <w:p w14:paraId="14CEB5C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95" w:type="dxa"/>
                  <w:noWrap w:val="0"/>
                  <w:vAlign w:val="center"/>
                </w:tcPr>
                <w:p w14:paraId="1DA8707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68</w:t>
                  </w:r>
                </w:p>
              </w:tc>
              <w:tc>
                <w:tcPr>
                  <w:tcW w:w="1134" w:type="dxa"/>
                  <w:noWrap w:val="0"/>
                  <w:vAlign w:val="center"/>
                </w:tcPr>
                <w:p w14:paraId="6479101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453" w:type="dxa"/>
                  <w:noWrap w:val="0"/>
                  <w:vAlign w:val="center"/>
                </w:tcPr>
                <w:p w14:paraId="10B3BA5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32</w:t>
                  </w:r>
                </w:p>
              </w:tc>
              <w:tc>
                <w:tcPr>
                  <w:tcW w:w="1219" w:type="dxa"/>
                  <w:noWrap w:val="0"/>
                  <w:vAlign w:val="center"/>
                </w:tcPr>
                <w:p w14:paraId="5ECC294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40</w:t>
                  </w:r>
                </w:p>
              </w:tc>
              <w:tc>
                <w:tcPr>
                  <w:tcW w:w="453" w:type="dxa"/>
                  <w:noWrap w:val="0"/>
                  <w:vAlign w:val="center"/>
                </w:tcPr>
                <w:p w14:paraId="1CC328E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19</w:t>
                  </w:r>
                </w:p>
              </w:tc>
              <w:tc>
                <w:tcPr>
                  <w:tcW w:w="1221" w:type="dxa"/>
                  <w:noWrap w:val="0"/>
                  <w:vAlign w:val="center"/>
                </w:tcPr>
                <w:p w14:paraId="4FECCA5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44</w:t>
                  </w:r>
                </w:p>
              </w:tc>
            </w:tr>
            <w:tr w14:paraId="5936BA7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84" w:type="dxa"/>
                  <w:noWrap w:val="0"/>
                  <w:vAlign w:val="center"/>
                </w:tcPr>
                <w:p w14:paraId="1778C44D">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17</w:t>
                  </w:r>
                </w:p>
              </w:tc>
              <w:tc>
                <w:tcPr>
                  <w:tcW w:w="1302" w:type="dxa"/>
                  <w:noWrap w:val="0"/>
                  <w:vAlign w:val="center"/>
                </w:tcPr>
                <w:p w14:paraId="4DE708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540" w:type="dxa"/>
                  <w:noWrap w:val="0"/>
                  <w:vAlign w:val="center"/>
                </w:tcPr>
                <w:p w14:paraId="7B5839F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p>
              </w:tc>
              <w:tc>
                <w:tcPr>
                  <w:tcW w:w="541" w:type="dxa"/>
                  <w:noWrap w:val="0"/>
                  <w:vAlign w:val="center"/>
                </w:tcPr>
                <w:p w14:paraId="3632E2E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95" w:type="dxa"/>
                  <w:noWrap w:val="0"/>
                  <w:vAlign w:val="center"/>
                </w:tcPr>
                <w:p w14:paraId="75CE96D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100</w:t>
                  </w:r>
                </w:p>
              </w:tc>
              <w:tc>
                <w:tcPr>
                  <w:tcW w:w="1134" w:type="dxa"/>
                  <w:noWrap w:val="0"/>
                  <w:vAlign w:val="center"/>
                </w:tcPr>
                <w:p w14:paraId="03EBA10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c>
                <w:tcPr>
                  <w:tcW w:w="453" w:type="dxa"/>
                  <w:noWrap w:val="0"/>
                  <w:vAlign w:val="center"/>
                </w:tcPr>
                <w:p w14:paraId="7C4E4D9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25</w:t>
                  </w:r>
                </w:p>
              </w:tc>
              <w:tc>
                <w:tcPr>
                  <w:tcW w:w="1219" w:type="dxa"/>
                  <w:noWrap w:val="0"/>
                  <w:vAlign w:val="center"/>
                </w:tcPr>
                <w:p w14:paraId="5D25576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42</w:t>
                  </w:r>
                </w:p>
              </w:tc>
              <w:tc>
                <w:tcPr>
                  <w:tcW w:w="453" w:type="dxa"/>
                  <w:noWrap w:val="0"/>
                  <w:vAlign w:val="center"/>
                </w:tcPr>
                <w:p w14:paraId="63B41AC2">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25</w:t>
                  </w:r>
                </w:p>
              </w:tc>
              <w:tc>
                <w:tcPr>
                  <w:tcW w:w="1221" w:type="dxa"/>
                  <w:noWrap w:val="0"/>
                  <w:vAlign w:val="center"/>
                </w:tcPr>
                <w:p w14:paraId="729913B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42</w:t>
                  </w:r>
                </w:p>
              </w:tc>
            </w:tr>
            <w:tr w14:paraId="7F5C488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867" w:type="dxa"/>
                  <w:gridSpan w:val="4"/>
                  <w:noWrap w:val="0"/>
                  <w:vAlign w:val="center"/>
                </w:tcPr>
                <w:p w14:paraId="7B289EE4">
                  <w:pPr>
                    <w:adjustRightInd w:val="0"/>
                    <w:snapToGrid w:val="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厂界贡献值</w:t>
                  </w:r>
                </w:p>
              </w:tc>
              <w:tc>
                <w:tcPr>
                  <w:tcW w:w="1729" w:type="dxa"/>
                  <w:gridSpan w:val="2"/>
                  <w:noWrap w:val="0"/>
                  <w:vAlign w:val="center"/>
                </w:tcPr>
                <w:p w14:paraId="3558D571">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38</w:t>
                  </w:r>
                </w:p>
              </w:tc>
              <w:tc>
                <w:tcPr>
                  <w:tcW w:w="1672" w:type="dxa"/>
                  <w:gridSpan w:val="2"/>
                  <w:noWrap w:val="0"/>
                  <w:vAlign w:val="center"/>
                </w:tcPr>
                <w:p w14:paraId="403D2E1B">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47</w:t>
                  </w:r>
                </w:p>
              </w:tc>
              <w:tc>
                <w:tcPr>
                  <w:tcW w:w="1674" w:type="dxa"/>
                  <w:gridSpan w:val="2"/>
                  <w:noWrap w:val="0"/>
                  <w:vAlign w:val="center"/>
                </w:tcPr>
                <w:p w14:paraId="79BECEB2">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49</w:t>
                  </w:r>
                </w:p>
              </w:tc>
            </w:tr>
            <w:tr w14:paraId="2CFFFF1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867" w:type="dxa"/>
                  <w:gridSpan w:val="4"/>
                  <w:noWrap w:val="0"/>
                  <w:vAlign w:val="center"/>
                </w:tcPr>
                <w:p w14:paraId="4B549A2B">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标准值</w:t>
                  </w:r>
                </w:p>
              </w:tc>
              <w:tc>
                <w:tcPr>
                  <w:tcW w:w="5075" w:type="dxa"/>
                  <w:gridSpan w:val="6"/>
                  <w:noWrap w:val="0"/>
                  <w:vAlign w:val="center"/>
                </w:tcPr>
                <w:p w14:paraId="20DEB5CF">
                  <w:pPr>
                    <w:jc w:val="center"/>
                    <w:rPr>
                      <w:rFonts w:hint="eastAsia" w:ascii="Times New Roman" w:hAnsi="Times New Roman" w:eastAsia="宋体" w:cs="Times New Roman"/>
                      <w:color w:val="000000" w:themeColor="text1"/>
                      <w:kern w:val="28"/>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昼间≤60dB（A）</w:t>
                  </w: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；夜</w:t>
                  </w:r>
                  <w:r>
                    <w:rPr>
                      <w:rFonts w:hint="default" w:ascii="Times New Roman" w:hAnsi="Times New Roman" w:eastAsia="宋体" w:cs="Times New Roman"/>
                      <w:color w:val="000000" w:themeColor="text1"/>
                      <w:szCs w:val="21"/>
                      <w:highlight w:val="none"/>
                      <w14:textFill>
                        <w14:solidFill>
                          <w14:schemeClr w14:val="tx1"/>
                        </w14:solidFill>
                      </w14:textFill>
                    </w:rPr>
                    <w:t>间≤</w:t>
                  </w: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Cs w:val="21"/>
                      <w:highlight w:val="none"/>
                      <w14:textFill>
                        <w14:solidFill>
                          <w14:schemeClr w14:val="tx1"/>
                        </w14:solidFill>
                      </w14:textFill>
                    </w:rPr>
                    <w:t>0dB（A）</w:t>
                  </w:r>
                </w:p>
              </w:tc>
            </w:tr>
          </w:tbl>
          <w:p w14:paraId="4FA13690">
            <w:pPr>
              <w:pStyle w:val="10"/>
              <w:keepNext w:val="0"/>
              <w:keepLines w:val="0"/>
              <w:pageBreakBefore w:val="0"/>
              <w:widowControl w:val="0"/>
              <w:kinsoku/>
              <w:wordWrap/>
              <w:overflowPunct/>
              <w:topLinePunct w:val="0"/>
              <w:autoSpaceDE/>
              <w:autoSpaceDN/>
              <w:bidi w:val="0"/>
              <w:adjustRightInd w:val="0"/>
              <w:snapToGrid w:val="0"/>
              <w:spacing w:before="157" w:beforeLines="50" w:after="0" w:line="240" w:lineRule="auto"/>
              <w:ind w:left="0" w:leftChars="0" w:right="0" w:rightChars="0" w:firstLine="0" w:firstLineChars="0"/>
              <w:jc w:val="center"/>
              <w:textAlignment w:val="auto"/>
              <w:rPr>
                <w:rFonts w:hint="eastAsia" w:eastAsia="宋体"/>
                <w:b/>
                <w:bCs/>
                <w:color w:val="000000" w:themeColor="text1"/>
                <w:szCs w:val="21"/>
                <w:highlight w:val="none"/>
                <w:lang w:eastAsia="zh-CN"/>
                <w14:textFill>
                  <w14:solidFill>
                    <w14:schemeClr w14:val="tx1"/>
                  </w14:solidFill>
                </w14:textFill>
              </w:rPr>
            </w:pPr>
            <w:r>
              <w:rPr>
                <w:b/>
                <w:bCs/>
                <w:color w:val="000000" w:themeColor="text1"/>
                <w:szCs w:val="21"/>
                <w:highlight w:val="none"/>
                <w14:textFill>
                  <w14:solidFill>
                    <w14:schemeClr w14:val="tx1"/>
                  </w14:solidFill>
                </w14:textFill>
              </w:rPr>
              <w:t>表</w:t>
            </w:r>
            <w:r>
              <w:rPr>
                <w:rFonts w:hint="eastAsia"/>
                <w:b/>
                <w:bCs/>
                <w:color w:val="000000" w:themeColor="text1"/>
                <w:szCs w:val="21"/>
                <w:highlight w:val="none"/>
                <w14:textFill>
                  <w14:solidFill>
                    <w14:schemeClr w14:val="tx1"/>
                  </w14:solidFill>
                </w14:textFill>
              </w:rPr>
              <w:t>4-</w:t>
            </w:r>
            <w:r>
              <w:rPr>
                <w:rFonts w:hint="eastAsia"/>
                <w:b/>
                <w:bCs/>
                <w:color w:val="000000" w:themeColor="text1"/>
                <w:szCs w:val="21"/>
                <w:highlight w:val="none"/>
                <w:lang w:val="en-US" w:eastAsia="zh-CN"/>
                <w14:textFill>
                  <w14:solidFill>
                    <w14:schemeClr w14:val="tx1"/>
                  </w14:solidFill>
                </w14:textFill>
              </w:rPr>
              <w:t>11</w:t>
            </w:r>
            <w:r>
              <w:rPr>
                <w:rFonts w:hint="eastAsia"/>
                <w:b/>
                <w:bCs/>
                <w:color w:val="000000" w:themeColor="text1"/>
                <w:szCs w:val="21"/>
                <w:highlight w:val="none"/>
                <w14:textFill>
                  <w14:solidFill>
                    <w14:schemeClr w14:val="tx1"/>
                  </w14:solidFill>
                </w14:textFill>
              </w:rPr>
              <w:t xml:space="preserve">     项目厂界四周噪声预测结果</w:t>
            </w:r>
            <w:r>
              <w:rPr>
                <w:rFonts w:hint="eastAsia"/>
                <w:b/>
                <w:bCs/>
                <w:color w:val="000000" w:themeColor="text1"/>
                <w:szCs w:val="21"/>
                <w:highlight w:val="none"/>
                <w:lang w:eastAsia="zh-CN"/>
                <w14:textFill>
                  <w14:solidFill>
                    <w14:schemeClr w14:val="tx1"/>
                  </w14:solidFill>
                </w14:textFill>
              </w:rPr>
              <w:t>（单位：dB（A））</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484"/>
              <w:gridCol w:w="1302"/>
              <w:gridCol w:w="540"/>
              <w:gridCol w:w="541"/>
              <w:gridCol w:w="754"/>
              <w:gridCol w:w="974"/>
              <w:gridCol w:w="686"/>
              <w:gridCol w:w="987"/>
              <w:gridCol w:w="762"/>
              <w:gridCol w:w="912"/>
            </w:tblGrid>
            <w:tr w14:paraId="7A8DFBF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tblHeader/>
                <w:jc w:val="center"/>
              </w:trPr>
              <w:tc>
                <w:tcPr>
                  <w:tcW w:w="400" w:type="dxa"/>
                  <w:vMerge w:val="restart"/>
                  <w:noWrap w:val="0"/>
                  <w:vAlign w:val="center"/>
                </w:tcPr>
                <w:p w14:paraId="063B3A53">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序号</w:t>
                  </w:r>
                </w:p>
              </w:tc>
              <w:tc>
                <w:tcPr>
                  <w:tcW w:w="1076" w:type="dxa"/>
                  <w:vMerge w:val="restart"/>
                  <w:noWrap w:val="0"/>
                  <w:vAlign w:val="center"/>
                </w:tcPr>
                <w:p w14:paraId="11ABEF71">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噪声源</w:t>
                  </w:r>
                </w:p>
              </w:tc>
              <w:tc>
                <w:tcPr>
                  <w:tcW w:w="446" w:type="dxa"/>
                  <w:vMerge w:val="restart"/>
                  <w:noWrap w:val="0"/>
                  <w:vAlign w:val="center"/>
                </w:tcPr>
                <w:p w14:paraId="25498EB7">
                  <w:pPr>
                    <w:adjustRightInd w:val="0"/>
                    <w:snapToGrid w:val="0"/>
                    <w:jc w:val="cente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数量</w:t>
                  </w:r>
                </w:p>
              </w:tc>
              <w:tc>
                <w:tcPr>
                  <w:tcW w:w="447" w:type="dxa"/>
                  <w:vMerge w:val="restart"/>
                  <w:noWrap w:val="0"/>
                  <w:vAlign w:val="center"/>
                </w:tcPr>
                <w:p w14:paraId="39326AB5">
                  <w:pPr>
                    <w:adjustRightInd w:val="0"/>
                    <w:snapToGrid w:val="0"/>
                    <w:jc w:val="center"/>
                    <w:rPr>
                      <w:rFonts w:hint="default" w:ascii="Times New Roman" w:hAnsi="Times New Roman" w:eastAsia="宋体" w:cs="Times New Roman"/>
                      <w:b w:val="0"/>
                      <w:bCs/>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源强</w:t>
                  </w:r>
                </w:p>
              </w:tc>
              <w:tc>
                <w:tcPr>
                  <w:tcW w:w="1428" w:type="dxa"/>
                  <w:gridSpan w:val="2"/>
                  <w:noWrap w:val="0"/>
                  <w:vAlign w:val="center"/>
                </w:tcPr>
                <w:p w14:paraId="75DBFC04">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拌和站</w:t>
                  </w:r>
                  <w:r>
                    <w:rPr>
                      <w:rFonts w:hint="default" w:ascii="Times New Roman" w:hAnsi="Times New Roman" w:eastAsia="宋体" w:cs="Times New Roman"/>
                      <w:b/>
                      <w:color w:val="000000" w:themeColor="text1"/>
                      <w:kern w:val="28"/>
                      <w:szCs w:val="21"/>
                      <w:highlight w:val="none"/>
                      <w14:textFill>
                        <w14:solidFill>
                          <w14:schemeClr w14:val="tx1"/>
                        </w14:solidFill>
                      </w14:textFill>
                    </w:rPr>
                    <w:t>东厂界（m）</w:t>
                  </w:r>
                </w:p>
              </w:tc>
              <w:tc>
                <w:tcPr>
                  <w:tcW w:w="1382" w:type="dxa"/>
                  <w:gridSpan w:val="2"/>
                  <w:noWrap w:val="0"/>
                  <w:vAlign w:val="center"/>
                </w:tcPr>
                <w:p w14:paraId="3E0EA07E">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拌和站</w:t>
                  </w:r>
                  <w:r>
                    <w:rPr>
                      <w:rFonts w:hint="default" w:ascii="Times New Roman" w:hAnsi="Times New Roman" w:eastAsia="宋体" w:cs="Times New Roman"/>
                      <w:b/>
                      <w:color w:val="000000" w:themeColor="text1"/>
                      <w:kern w:val="28"/>
                      <w:szCs w:val="21"/>
                      <w:highlight w:val="none"/>
                      <w14:textFill>
                        <w14:solidFill>
                          <w14:schemeClr w14:val="tx1"/>
                        </w14:solidFill>
                      </w14:textFill>
                    </w:rPr>
                    <w:t>南厂界（m）</w:t>
                  </w:r>
                </w:p>
              </w:tc>
              <w:tc>
                <w:tcPr>
                  <w:tcW w:w="1382" w:type="dxa"/>
                  <w:gridSpan w:val="2"/>
                  <w:noWrap w:val="0"/>
                  <w:vAlign w:val="center"/>
                </w:tcPr>
                <w:p w14:paraId="593FB0E0">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西</w:t>
                  </w:r>
                  <w:r>
                    <w:rPr>
                      <w:rFonts w:hint="default" w:ascii="Times New Roman" w:hAnsi="Times New Roman" w:eastAsia="宋体" w:cs="Times New Roman"/>
                      <w:b/>
                      <w:color w:val="000000" w:themeColor="text1"/>
                      <w:kern w:val="28"/>
                      <w:szCs w:val="21"/>
                      <w:highlight w:val="none"/>
                      <w14:textFill>
                        <w14:solidFill>
                          <w14:schemeClr w14:val="tx1"/>
                        </w14:solidFill>
                      </w14:textFill>
                    </w:rPr>
                    <w:t>厂界（m）</w:t>
                  </w:r>
                </w:p>
              </w:tc>
            </w:tr>
            <w:tr w14:paraId="7E17059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tblHeader/>
                <w:jc w:val="center"/>
              </w:trPr>
              <w:tc>
                <w:tcPr>
                  <w:tcW w:w="400" w:type="dxa"/>
                  <w:vMerge w:val="continue"/>
                  <w:noWrap w:val="0"/>
                  <w:vAlign w:val="center"/>
                </w:tcPr>
                <w:p w14:paraId="26B981E0">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1076" w:type="dxa"/>
                  <w:vMerge w:val="continue"/>
                  <w:noWrap w:val="0"/>
                  <w:vAlign w:val="center"/>
                </w:tcPr>
                <w:p w14:paraId="72BF1F4F">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446" w:type="dxa"/>
                  <w:vMerge w:val="continue"/>
                  <w:noWrap w:val="0"/>
                  <w:vAlign w:val="center"/>
                </w:tcPr>
                <w:p w14:paraId="5824DD23">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447" w:type="dxa"/>
                  <w:vMerge w:val="continue"/>
                  <w:noWrap w:val="0"/>
                  <w:vAlign w:val="center"/>
                </w:tcPr>
                <w:p w14:paraId="390B1121">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623" w:type="dxa"/>
                  <w:noWrap w:val="0"/>
                  <w:vAlign w:val="center"/>
                </w:tcPr>
                <w:p w14:paraId="24AA3640">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805" w:type="dxa"/>
                  <w:noWrap w:val="0"/>
                  <w:vAlign w:val="center"/>
                </w:tcPr>
                <w:p w14:paraId="7FEEB66B">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567" w:type="dxa"/>
                  <w:noWrap w:val="0"/>
                  <w:vAlign w:val="center"/>
                </w:tcPr>
                <w:p w14:paraId="784B3D5C">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815" w:type="dxa"/>
                  <w:noWrap w:val="0"/>
                  <w:vAlign w:val="center"/>
                </w:tcPr>
                <w:p w14:paraId="74295BB8">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629" w:type="dxa"/>
                  <w:noWrap w:val="0"/>
                  <w:vAlign w:val="center"/>
                </w:tcPr>
                <w:p w14:paraId="49BA4101">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753" w:type="dxa"/>
                  <w:noWrap w:val="0"/>
                  <w:vAlign w:val="center"/>
                </w:tcPr>
                <w:p w14:paraId="070693CB">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r>
            <w:tr w14:paraId="6780C8A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36C77DB5">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w:t>
                  </w:r>
                </w:p>
              </w:tc>
              <w:tc>
                <w:tcPr>
                  <w:tcW w:w="1076" w:type="dxa"/>
                  <w:noWrap w:val="0"/>
                  <w:vAlign w:val="center"/>
                </w:tcPr>
                <w:p w14:paraId="3825F2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楼</w:t>
                  </w:r>
                </w:p>
              </w:tc>
              <w:tc>
                <w:tcPr>
                  <w:tcW w:w="446" w:type="dxa"/>
                  <w:noWrap w:val="0"/>
                  <w:vAlign w:val="center"/>
                </w:tcPr>
                <w:p w14:paraId="40B7570C">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447" w:type="dxa"/>
                  <w:noWrap w:val="0"/>
                  <w:vAlign w:val="center"/>
                </w:tcPr>
                <w:p w14:paraId="38FB8B5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623" w:type="dxa"/>
                  <w:noWrap w:val="0"/>
                  <w:vAlign w:val="center"/>
                </w:tcPr>
                <w:p w14:paraId="74474EE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44</w:t>
                  </w:r>
                </w:p>
              </w:tc>
              <w:tc>
                <w:tcPr>
                  <w:tcW w:w="805" w:type="dxa"/>
                  <w:noWrap w:val="0"/>
                  <w:vAlign w:val="center"/>
                </w:tcPr>
                <w:p w14:paraId="189D8BA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40</w:t>
                  </w:r>
                </w:p>
              </w:tc>
              <w:tc>
                <w:tcPr>
                  <w:tcW w:w="567" w:type="dxa"/>
                  <w:noWrap w:val="0"/>
                  <w:vAlign w:val="center"/>
                </w:tcPr>
                <w:p w14:paraId="48B6D718">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137</w:t>
                  </w:r>
                </w:p>
              </w:tc>
              <w:tc>
                <w:tcPr>
                  <w:tcW w:w="815" w:type="dxa"/>
                  <w:noWrap w:val="0"/>
                  <w:vAlign w:val="center"/>
                </w:tcPr>
                <w:p w14:paraId="10A3987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c>
                <w:tcPr>
                  <w:tcW w:w="629" w:type="dxa"/>
                  <w:noWrap w:val="0"/>
                  <w:vAlign w:val="center"/>
                </w:tcPr>
                <w:p w14:paraId="5BCB446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157</w:t>
                  </w:r>
                </w:p>
              </w:tc>
              <w:tc>
                <w:tcPr>
                  <w:tcW w:w="753" w:type="dxa"/>
                  <w:noWrap w:val="0"/>
                  <w:vAlign w:val="center"/>
                </w:tcPr>
                <w:p w14:paraId="219E9FC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r>
            <w:tr w14:paraId="46E9525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40954228">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w:t>
                  </w:r>
                </w:p>
              </w:tc>
              <w:tc>
                <w:tcPr>
                  <w:tcW w:w="1076" w:type="dxa"/>
                  <w:noWrap w:val="0"/>
                  <w:vAlign w:val="center"/>
                </w:tcPr>
                <w:p w14:paraId="0F0C887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446" w:type="dxa"/>
                  <w:noWrap w:val="0"/>
                  <w:vAlign w:val="center"/>
                </w:tcPr>
                <w:p w14:paraId="2215F964">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447" w:type="dxa"/>
                  <w:noWrap w:val="0"/>
                  <w:vAlign w:val="center"/>
                </w:tcPr>
                <w:p w14:paraId="2B1C3B12">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70</w:t>
                  </w:r>
                </w:p>
              </w:tc>
              <w:tc>
                <w:tcPr>
                  <w:tcW w:w="623" w:type="dxa"/>
                  <w:noWrap w:val="0"/>
                  <w:vAlign w:val="center"/>
                </w:tcPr>
                <w:p w14:paraId="15A1A110">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41</w:t>
                  </w:r>
                </w:p>
              </w:tc>
              <w:tc>
                <w:tcPr>
                  <w:tcW w:w="805" w:type="dxa"/>
                  <w:noWrap w:val="0"/>
                  <w:vAlign w:val="center"/>
                </w:tcPr>
                <w:p w14:paraId="72FFB4F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c>
                <w:tcPr>
                  <w:tcW w:w="567" w:type="dxa"/>
                  <w:noWrap w:val="0"/>
                  <w:vAlign w:val="center"/>
                </w:tcPr>
                <w:p w14:paraId="6FB2346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126</w:t>
                  </w:r>
                </w:p>
              </w:tc>
              <w:tc>
                <w:tcPr>
                  <w:tcW w:w="815" w:type="dxa"/>
                  <w:noWrap w:val="0"/>
                  <w:vAlign w:val="center"/>
                </w:tcPr>
                <w:p w14:paraId="3355EBC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w:t>
                  </w:r>
                </w:p>
              </w:tc>
              <w:tc>
                <w:tcPr>
                  <w:tcW w:w="629" w:type="dxa"/>
                  <w:noWrap w:val="0"/>
                  <w:vAlign w:val="center"/>
                </w:tcPr>
                <w:p w14:paraId="39489A7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170</w:t>
                  </w:r>
                </w:p>
              </w:tc>
              <w:tc>
                <w:tcPr>
                  <w:tcW w:w="753" w:type="dxa"/>
                  <w:noWrap w:val="0"/>
                  <w:vAlign w:val="center"/>
                </w:tcPr>
                <w:p w14:paraId="61D8C94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w:t>
                  </w:r>
                </w:p>
              </w:tc>
            </w:tr>
            <w:tr w14:paraId="2852B47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0F9334C6">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3</w:t>
                  </w:r>
                </w:p>
              </w:tc>
              <w:tc>
                <w:tcPr>
                  <w:tcW w:w="1076" w:type="dxa"/>
                  <w:noWrap w:val="0"/>
                  <w:vAlign w:val="center"/>
                </w:tcPr>
                <w:p w14:paraId="398010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p>
              </w:tc>
              <w:tc>
                <w:tcPr>
                  <w:tcW w:w="446" w:type="dxa"/>
                  <w:noWrap w:val="0"/>
                  <w:vAlign w:val="center"/>
                </w:tcPr>
                <w:p w14:paraId="7332838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3779E7FC">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11E3967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33</w:t>
                  </w:r>
                </w:p>
              </w:tc>
              <w:tc>
                <w:tcPr>
                  <w:tcW w:w="805" w:type="dxa"/>
                  <w:noWrap w:val="0"/>
                  <w:vAlign w:val="center"/>
                </w:tcPr>
                <w:p w14:paraId="0791433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35</w:t>
                  </w:r>
                </w:p>
              </w:tc>
              <w:tc>
                <w:tcPr>
                  <w:tcW w:w="567" w:type="dxa"/>
                  <w:noWrap w:val="0"/>
                  <w:vAlign w:val="center"/>
                </w:tcPr>
                <w:p w14:paraId="3F78290B">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85</w:t>
                  </w:r>
                </w:p>
              </w:tc>
              <w:tc>
                <w:tcPr>
                  <w:tcW w:w="815" w:type="dxa"/>
                  <w:noWrap w:val="0"/>
                  <w:vAlign w:val="center"/>
                </w:tcPr>
                <w:p w14:paraId="10A9A91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629" w:type="dxa"/>
                  <w:noWrap w:val="0"/>
                  <w:vAlign w:val="center"/>
                </w:tcPr>
                <w:p w14:paraId="4B0AA78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178</w:t>
                  </w:r>
                </w:p>
              </w:tc>
              <w:tc>
                <w:tcPr>
                  <w:tcW w:w="753" w:type="dxa"/>
                  <w:noWrap w:val="0"/>
                  <w:vAlign w:val="center"/>
                </w:tcPr>
                <w:p w14:paraId="0B07699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r>
            <w:tr w14:paraId="62F23B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64A165BE">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4</w:t>
                  </w:r>
                </w:p>
              </w:tc>
              <w:tc>
                <w:tcPr>
                  <w:tcW w:w="1076" w:type="dxa"/>
                  <w:noWrap w:val="0"/>
                  <w:vAlign w:val="center"/>
                </w:tcPr>
                <w:p w14:paraId="6BFA0F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砂石分离机</w:t>
                  </w:r>
                </w:p>
              </w:tc>
              <w:tc>
                <w:tcPr>
                  <w:tcW w:w="446" w:type="dxa"/>
                  <w:noWrap w:val="0"/>
                  <w:vAlign w:val="center"/>
                </w:tcPr>
                <w:p w14:paraId="1FA138FB">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7A9CFB2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623" w:type="dxa"/>
                  <w:noWrap w:val="0"/>
                  <w:vAlign w:val="center"/>
                </w:tcPr>
                <w:p w14:paraId="70FB012E">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180</w:t>
                  </w:r>
                </w:p>
              </w:tc>
              <w:tc>
                <w:tcPr>
                  <w:tcW w:w="805" w:type="dxa"/>
                  <w:noWrap w:val="0"/>
                  <w:vAlign w:val="center"/>
                </w:tcPr>
                <w:p w14:paraId="02F99B8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67" w:type="dxa"/>
                  <w:noWrap w:val="0"/>
                  <w:vAlign w:val="center"/>
                </w:tcPr>
                <w:p w14:paraId="6CE79A8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145</w:t>
                  </w:r>
                </w:p>
              </w:tc>
              <w:tc>
                <w:tcPr>
                  <w:tcW w:w="815" w:type="dxa"/>
                  <w:noWrap w:val="0"/>
                  <w:vAlign w:val="center"/>
                </w:tcPr>
                <w:p w14:paraId="7E05188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629" w:type="dxa"/>
                  <w:noWrap w:val="0"/>
                  <w:vAlign w:val="center"/>
                </w:tcPr>
                <w:p w14:paraId="58646A8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25</w:t>
                  </w:r>
                </w:p>
              </w:tc>
              <w:tc>
                <w:tcPr>
                  <w:tcW w:w="753" w:type="dxa"/>
                  <w:noWrap w:val="0"/>
                  <w:vAlign w:val="center"/>
                </w:tcPr>
                <w:p w14:paraId="58258FF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42</w:t>
                  </w:r>
                </w:p>
              </w:tc>
            </w:tr>
            <w:tr w14:paraId="705AB28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7165049E">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5</w:t>
                  </w:r>
                </w:p>
              </w:tc>
              <w:tc>
                <w:tcPr>
                  <w:tcW w:w="1076" w:type="dxa"/>
                  <w:noWrap w:val="0"/>
                  <w:vAlign w:val="center"/>
                </w:tcPr>
                <w:p w14:paraId="344268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压滤机</w:t>
                  </w:r>
                </w:p>
              </w:tc>
              <w:tc>
                <w:tcPr>
                  <w:tcW w:w="446" w:type="dxa"/>
                  <w:noWrap w:val="0"/>
                  <w:vAlign w:val="center"/>
                </w:tcPr>
                <w:p w14:paraId="201EAB6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57B97B0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48DB40AB">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156</w:t>
                  </w:r>
                </w:p>
              </w:tc>
              <w:tc>
                <w:tcPr>
                  <w:tcW w:w="805" w:type="dxa"/>
                  <w:noWrap w:val="0"/>
                  <w:vAlign w:val="center"/>
                </w:tcPr>
                <w:p w14:paraId="45DA9DD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c>
                <w:tcPr>
                  <w:tcW w:w="567" w:type="dxa"/>
                  <w:noWrap w:val="0"/>
                  <w:vAlign w:val="center"/>
                </w:tcPr>
                <w:p w14:paraId="387FBEC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141</w:t>
                  </w:r>
                </w:p>
              </w:tc>
              <w:tc>
                <w:tcPr>
                  <w:tcW w:w="815" w:type="dxa"/>
                  <w:noWrap w:val="0"/>
                  <w:vAlign w:val="center"/>
                </w:tcPr>
                <w:p w14:paraId="7FB2E83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c>
                <w:tcPr>
                  <w:tcW w:w="629" w:type="dxa"/>
                  <w:noWrap w:val="0"/>
                  <w:vAlign w:val="center"/>
                </w:tcPr>
                <w:p w14:paraId="2C825AA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42</w:t>
                  </w:r>
                </w:p>
              </w:tc>
              <w:tc>
                <w:tcPr>
                  <w:tcW w:w="753" w:type="dxa"/>
                  <w:noWrap w:val="0"/>
                  <w:vAlign w:val="center"/>
                </w:tcPr>
                <w:p w14:paraId="6A5375F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r>
            <w:tr w14:paraId="0ABCA6B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2D33F61E">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6</w:t>
                  </w:r>
                </w:p>
              </w:tc>
              <w:tc>
                <w:tcPr>
                  <w:tcW w:w="1076" w:type="dxa"/>
                  <w:noWrap w:val="0"/>
                  <w:vAlign w:val="center"/>
                </w:tcPr>
                <w:p w14:paraId="427955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备用发电机</w:t>
                  </w:r>
                </w:p>
              </w:tc>
              <w:tc>
                <w:tcPr>
                  <w:tcW w:w="446" w:type="dxa"/>
                  <w:noWrap w:val="0"/>
                  <w:vAlign w:val="center"/>
                </w:tcPr>
                <w:p w14:paraId="7597375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5381DFC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623" w:type="dxa"/>
                  <w:noWrap w:val="0"/>
                  <w:vAlign w:val="center"/>
                </w:tcPr>
                <w:p w14:paraId="1C411AC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15</w:t>
                  </w:r>
                </w:p>
              </w:tc>
              <w:tc>
                <w:tcPr>
                  <w:tcW w:w="805" w:type="dxa"/>
                  <w:noWrap w:val="0"/>
                  <w:vAlign w:val="center"/>
                </w:tcPr>
                <w:p w14:paraId="7DD56E4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46</w:t>
                  </w:r>
                </w:p>
              </w:tc>
              <w:tc>
                <w:tcPr>
                  <w:tcW w:w="567" w:type="dxa"/>
                  <w:noWrap w:val="0"/>
                  <w:vAlign w:val="center"/>
                </w:tcPr>
                <w:p w14:paraId="2016283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150</w:t>
                  </w:r>
                </w:p>
              </w:tc>
              <w:tc>
                <w:tcPr>
                  <w:tcW w:w="815" w:type="dxa"/>
                  <w:noWrap w:val="0"/>
                  <w:vAlign w:val="center"/>
                </w:tcPr>
                <w:p w14:paraId="3347829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629" w:type="dxa"/>
                  <w:noWrap w:val="0"/>
                  <w:vAlign w:val="center"/>
                </w:tcPr>
                <w:p w14:paraId="5813E24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195</w:t>
                  </w:r>
                </w:p>
              </w:tc>
              <w:tc>
                <w:tcPr>
                  <w:tcW w:w="753" w:type="dxa"/>
                  <w:noWrap w:val="0"/>
                  <w:vAlign w:val="center"/>
                </w:tcPr>
                <w:p w14:paraId="13F238C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r>
            <w:tr w14:paraId="4594E94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308CE743">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7</w:t>
                  </w:r>
                </w:p>
              </w:tc>
              <w:tc>
                <w:tcPr>
                  <w:tcW w:w="1076" w:type="dxa"/>
                  <w:noWrap w:val="0"/>
                  <w:vAlign w:val="center"/>
                </w:tcPr>
                <w:p w14:paraId="307799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钢筋弯曲中心</w:t>
                  </w:r>
                </w:p>
              </w:tc>
              <w:tc>
                <w:tcPr>
                  <w:tcW w:w="446" w:type="dxa"/>
                  <w:noWrap w:val="0"/>
                  <w:vAlign w:val="center"/>
                </w:tcPr>
                <w:p w14:paraId="1DD87FB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3DF065D2">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623" w:type="dxa"/>
                  <w:noWrap w:val="0"/>
                  <w:vAlign w:val="center"/>
                </w:tcPr>
                <w:p w14:paraId="6C6F505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81</w:t>
                  </w:r>
                </w:p>
              </w:tc>
              <w:tc>
                <w:tcPr>
                  <w:tcW w:w="805" w:type="dxa"/>
                  <w:noWrap w:val="0"/>
                  <w:vAlign w:val="center"/>
                </w:tcPr>
                <w:p w14:paraId="55E5B49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c>
                <w:tcPr>
                  <w:tcW w:w="567" w:type="dxa"/>
                  <w:noWrap w:val="0"/>
                  <w:vAlign w:val="center"/>
                </w:tcPr>
                <w:p w14:paraId="4B9897CF">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109</w:t>
                  </w:r>
                </w:p>
              </w:tc>
              <w:tc>
                <w:tcPr>
                  <w:tcW w:w="815" w:type="dxa"/>
                  <w:noWrap w:val="0"/>
                  <w:vAlign w:val="center"/>
                </w:tcPr>
                <w:p w14:paraId="0E35F05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c>
                <w:tcPr>
                  <w:tcW w:w="629" w:type="dxa"/>
                  <w:noWrap w:val="0"/>
                  <w:vAlign w:val="center"/>
                </w:tcPr>
                <w:p w14:paraId="5F6EC808">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130</w:t>
                  </w:r>
                </w:p>
              </w:tc>
              <w:tc>
                <w:tcPr>
                  <w:tcW w:w="753" w:type="dxa"/>
                  <w:noWrap w:val="0"/>
                  <w:vAlign w:val="center"/>
                </w:tcPr>
                <w:p w14:paraId="7515BA8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r>
            <w:tr w14:paraId="710DDB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054C6EC8">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8</w:t>
                  </w:r>
                </w:p>
              </w:tc>
              <w:tc>
                <w:tcPr>
                  <w:tcW w:w="1076" w:type="dxa"/>
                  <w:noWrap w:val="0"/>
                  <w:vAlign w:val="center"/>
                </w:tcPr>
                <w:p w14:paraId="5E524B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钢筋弯曲机</w:t>
                  </w:r>
                </w:p>
              </w:tc>
              <w:tc>
                <w:tcPr>
                  <w:tcW w:w="446" w:type="dxa"/>
                  <w:noWrap w:val="0"/>
                  <w:vAlign w:val="center"/>
                </w:tcPr>
                <w:p w14:paraId="781AC6E1">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4</w:t>
                  </w:r>
                </w:p>
              </w:tc>
              <w:tc>
                <w:tcPr>
                  <w:tcW w:w="447" w:type="dxa"/>
                  <w:noWrap w:val="0"/>
                  <w:vAlign w:val="center"/>
                </w:tcPr>
                <w:p w14:paraId="26A44A9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623" w:type="dxa"/>
                  <w:noWrap w:val="0"/>
                  <w:vAlign w:val="center"/>
                </w:tcPr>
                <w:p w14:paraId="21C3C7B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83</w:t>
                  </w:r>
                </w:p>
              </w:tc>
              <w:tc>
                <w:tcPr>
                  <w:tcW w:w="805" w:type="dxa"/>
                  <w:noWrap w:val="0"/>
                  <w:vAlign w:val="center"/>
                </w:tcPr>
                <w:p w14:paraId="3792335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67" w:type="dxa"/>
                  <w:noWrap w:val="0"/>
                  <w:vAlign w:val="center"/>
                </w:tcPr>
                <w:p w14:paraId="57D14A60">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115</w:t>
                  </w:r>
                </w:p>
              </w:tc>
              <w:tc>
                <w:tcPr>
                  <w:tcW w:w="815" w:type="dxa"/>
                  <w:noWrap w:val="0"/>
                  <w:vAlign w:val="center"/>
                </w:tcPr>
                <w:p w14:paraId="01463D6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629" w:type="dxa"/>
                  <w:noWrap w:val="0"/>
                  <w:vAlign w:val="center"/>
                </w:tcPr>
                <w:p w14:paraId="4139E8A0">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128</w:t>
                  </w:r>
                </w:p>
              </w:tc>
              <w:tc>
                <w:tcPr>
                  <w:tcW w:w="753" w:type="dxa"/>
                  <w:noWrap w:val="0"/>
                  <w:vAlign w:val="center"/>
                </w:tcPr>
                <w:p w14:paraId="7938826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r>
            <w:tr w14:paraId="5F6B4A4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68F46EB2">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9</w:t>
                  </w:r>
                </w:p>
              </w:tc>
              <w:tc>
                <w:tcPr>
                  <w:tcW w:w="1076" w:type="dxa"/>
                  <w:noWrap w:val="0"/>
                  <w:vAlign w:val="center"/>
                </w:tcPr>
                <w:p w14:paraId="7EF5A3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钢筋车丝机</w:t>
                  </w:r>
                </w:p>
              </w:tc>
              <w:tc>
                <w:tcPr>
                  <w:tcW w:w="446" w:type="dxa"/>
                  <w:noWrap w:val="0"/>
                  <w:vAlign w:val="center"/>
                </w:tcPr>
                <w:p w14:paraId="63B7726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p>
              </w:tc>
              <w:tc>
                <w:tcPr>
                  <w:tcW w:w="447" w:type="dxa"/>
                  <w:noWrap w:val="0"/>
                  <w:vAlign w:val="center"/>
                </w:tcPr>
                <w:p w14:paraId="1FCCE60D">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5BDB5F8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102</w:t>
                  </w:r>
                </w:p>
              </w:tc>
              <w:tc>
                <w:tcPr>
                  <w:tcW w:w="805" w:type="dxa"/>
                  <w:noWrap w:val="0"/>
                  <w:vAlign w:val="center"/>
                </w:tcPr>
                <w:p w14:paraId="25AF897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c>
                <w:tcPr>
                  <w:tcW w:w="567" w:type="dxa"/>
                  <w:noWrap w:val="0"/>
                  <w:vAlign w:val="center"/>
                </w:tcPr>
                <w:p w14:paraId="6DE890D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126</w:t>
                  </w:r>
                </w:p>
              </w:tc>
              <w:tc>
                <w:tcPr>
                  <w:tcW w:w="815" w:type="dxa"/>
                  <w:noWrap w:val="0"/>
                  <w:vAlign w:val="center"/>
                </w:tcPr>
                <w:p w14:paraId="5735374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629" w:type="dxa"/>
                  <w:noWrap w:val="0"/>
                  <w:vAlign w:val="center"/>
                </w:tcPr>
                <w:p w14:paraId="33C3517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115</w:t>
                  </w:r>
                </w:p>
              </w:tc>
              <w:tc>
                <w:tcPr>
                  <w:tcW w:w="753" w:type="dxa"/>
                  <w:noWrap w:val="0"/>
                  <w:vAlign w:val="center"/>
                </w:tcPr>
                <w:p w14:paraId="4D27DBA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r>
            <w:tr w14:paraId="5A9C973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0D50A8FA">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10</w:t>
                  </w:r>
                </w:p>
              </w:tc>
              <w:tc>
                <w:tcPr>
                  <w:tcW w:w="1076" w:type="dxa"/>
                  <w:noWrap w:val="0"/>
                  <w:vAlign w:val="center"/>
                </w:tcPr>
                <w:p w14:paraId="12D87D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交流电焊机</w:t>
                  </w:r>
                </w:p>
              </w:tc>
              <w:tc>
                <w:tcPr>
                  <w:tcW w:w="446" w:type="dxa"/>
                  <w:noWrap w:val="0"/>
                  <w:vAlign w:val="center"/>
                </w:tcPr>
                <w:p w14:paraId="61E674B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w:t>
                  </w:r>
                </w:p>
              </w:tc>
              <w:tc>
                <w:tcPr>
                  <w:tcW w:w="447" w:type="dxa"/>
                  <w:noWrap w:val="0"/>
                  <w:vAlign w:val="center"/>
                </w:tcPr>
                <w:p w14:paraId="41EFA7F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5B250DD2">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103</w:t>
                  </w:r>
                </w:p>
              </w:tc>
              <w:tc>
                <w:tcPr>
                  <w:tcW w:w="805" w:type="dxa"/>
                  <w:noWrap w:val="0"/>
                  <w:vAlign w:val="center"/>
                </w:tcPr>
                <w:p w14:paraId="638F847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34</w:t>
                  </w:r>
                </w:p>
              </w:tc>
              <w:tc>
                <w:tcPr>
                  <w:tcW w:w="567" w:type="dxa"/>
                  <w:noWrap w:val="0"/>
                  <w:vAlign w:val="center"/>
                </w:tcPr>
                <w:p w14:paraId="5C34D47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118</w:t>
                  </w:r>
                </w:p>
              </w:tc>
              <w:tc>
                <w:tcPr>
                  <w:tcW w:w="815" w:type="dxa"/>
                  <w:noWrap w:val="0"/>
                  <w:vAlign w:val="center"/>
                </w:tcPr>
                <w:p w14:paraId="03A20E3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629" w:type="dxa"/>
                  <w:noWrap w:val="0"/>
                  <w:vAlign w:val="center"/>
                </w:tcPr>
                <w:p w14:paraId="2B1E8BD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95</w:t>
                  </w:r>
                </w:p>
              </w:tc>
              <w:tc>
                <w:tcPr>
                  <w:tcW w:w="753" w:type="dxa"/>
                  <w:noWrap w:val="0"/>
                  <w:vAlign w:val="center"/>
                </w:tcPr>
                <w:p w14:paraId="239CFAC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34</w:t>
                  </w:r>
                </w:p>
              </w:tc>
            </w:tr>
            <w:tr w14:paraId="0EB0DD7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2B54F2E3">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11</w:t>
                  </w:r>
                </w:p>
              </w:tc>
              <w:tc>
                <w:tcPr>
                  <w:tcW w:w="1076" w:type="dxa"/>
                  <w:noWrap w:val="0"/>
                  <w:vAlign w:val="center"/>
                </w:tcPr>
                <w:p w14:paraId="5A5F12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钢筋笼滚焊机</w:t>
                  </w:r>
                </w:p>
              </w:tc>
              <w:tc>
                <w:tcPr>
                  <w:tcW w:w="446" w:type="dxa"/>
                  <w:noWrap w:val="0"/>
                  <w:vAlign w:val="center"/>
                </w:tcPr>
                <w:p w14:paraId="27B8883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69D5575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0B24D877">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105</w:t>
                  </w:r>
                </w:p>
              </w:tc>
              <w:tc>
                <w:tcPr>
                  <w:tcW w:w="805" w:type="dxa"/>
                  <w:noWrap w:val="0"/>
                  <w:vAlign w:val="center"/>
                </w:tcPr>
                <w:p w14:paraId="0DB984A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67" w:type="dxa"/>
                  <w:noWrap w:val="0"/>
                  <w:vAlign w:val="center"/>
                </w:tcPr>
                <w:p w14:paraId="4B38250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132</w:t>
                  </w:r>
                </w:p>
              </w:tc>
              <w:tc>
                <w:tcPr>
                  <w:tcW w:w="815" w:type="dxa"/>
                  <w:noWrap w:val="0"/>
                  <w:vAlign w:val="center"/>
                </w:tcPr>
                <w:p w14:paraId="1D32281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629" w:type="dxa"/>
                  <w:noWrap w:val="0"/>
                  <w:vAlign w:val="center"/>
                </w:tcPr>
                <w:p w14:paraId="13665D3A">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114</w:t>
                  </w:r>
                </w:p>
              </w:tc>
              <w:tc>
                <w:tcPr>
                  <w:tcW w:w="753" w:type="dxa"/>
                  <w:noWrap w:val="0"/>
                  <w:vAlign w:val="center"/>
                </w:tcPr>
                <w:p w14:paraId="225D806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r>
            <w:tr w14:paraId="08BD1ED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21A06210">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12</w:t>
                  </w:r>
                </w:p>
              </w:tc>
              <w:tc>
                <w:tcPr>
                  <w:tcW w:w="1076" w:type="dxa"/>
                  <w:noWrap w:val="0"/>
                  <w:vAlign w:val="center"/>
                </w:tcPr>
                <w:p w14:paraId="13F260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钢筋断筋机</w:t>
                  </w:r>
                </w:p>
              </w:tc>
              <w:tc>
                <w:tcPr>
                  <w:tcW w:w="446" w:type="dxa"/>
                  <w:noWrap w:val="0"/>
                  <w:vAlign w:val="center"/>
                </w:tcPr>
                <w:p w14:paraId="79B04C1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447" w:type="dxa"/>
                  <w:noWrap w:val="0"/>
                  <w:vAlign w:val="center"/>
                </w:tcPr>
                <w:p w14:paraId="4CB7D7A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623" w:type="dxa"/>
                  <w:noWrap w:val="0"/>
                  <w:vAlign w:val="center"/>
                </w:tcPr>
                <w:p w14:paraId="48BFD0E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76</w:t>
                  </w:r>
                </w:p>
              </w:tc>
              <w:tc>
                <w:tcPr>
                  <w:tcW w:w="805" w:type="dxa"/>
                  <w:noWrap w:val="0"/>
                  <w:vAlign w:val="center"/>
                </w:tcPr>
                <w:p w14:paraId="1A7BFB2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35</w:t>
                  </w:r>
                </w:p>
              </w:tc>
              <w:tc>
                <w:tcPr>
                  <w:tcW w:w="567" w:type="dxa"/>
                  <w:noWrap w:val="0"/>
                  <w:vAlign w:val="center"/>
                </w:tcPr>
                <w:p w14:paraId="6432CB62">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108</w:t>
                  </w:r>
                </w:p>
              </w:tc>
              <w:tc>
                <w:tcPr>
                  <w:tcW w:w="815" w:type="dxa"/>
                  <w:noWrap w:val="0"/>
                  <w:vAlign w:val="center"/>
                </w:tcPr>
                <w:p w14:paraId="780FBAD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32</w:t>
                  </w:r>
                </w:p>
              </w:tc>
              <w:tc>
                <w:tcPr>
                  <w:tcW w:w="629" w:type="dxa"/>
                  <w:noWrap w:val="0"/>
                  <w:vAlign w:val="center"/>
                </w:tcPr>
                <w:p w14:paraId="6D800A2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128</w:t>
                  </w:r>
                </w:p>
              </w:tc>
              <w:tc>
                <w:tcPr>
                  <w:tcW w:w="753" w:type="dxa"/>
                  <w:noWrap w:val="0"/>
                  <w:vAlign w:val="center"/>
                </w:tcPr>
                <w:p w14:paraId="423DF6E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31</w:t>
                  </w:r>
                </w:p>
              </w:tc>
            </w:tr>
            <w:tr w14:paraId="4AB99B0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36DD6B34">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13</w:t>
                  </w:r>
                </w:p>
              </w:tc>
              <w:tc>
                <w:tcPr>
                  <w:tcW w:w="1076" w:type="dxa"/>
                  <w:noWrap w:val="0"/>
                  <w:vAlign w:val="center"/>
                </w:tcPr>
                <w:p w14:paraId="53EC21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智能张拉设备</w:t>
                  </w:r>
                </w:p>
              </w:tc>
              <w:tc>
                <w:tcPr>
                  <w:tcW w:w="446" w:type="dxa"/>
                  <w:noWrap w:val="0"/>
                  <w:vAlign w:val="center"/>
                </w:tcPr>
                <w:p w14:paraId="20AA44A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4717F2A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623" w:type="dxa"/>
                  <w:noWrap w:val="0"/>
                  <w:vAlign w:val="center"/>
                </w:tcPr>
                <w:p w14:paraId="77F8001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157</w:t>
                  </w:r>
                </w:p>
              </w:tc>
              <w:tc>
                <w:tcPr>
                  <w:tcW w:w="805" w:type="dxa"/>
                  <w:noWrap w:val="0"/>
                  <w:vAlign w:val="center"/>
                </w:tcPr>
                <w:p w14:paraId="3350036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567" w:type="dxa"/>
                  <w:noWrap w:val="0"/>
                  <w:vAlign w:val="center"/>
                </w:tcPr>
                <w:p w14:paraId="28EB1C7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283</w:t>
                  </w:r>
                </w:p>
              </w:tc>
              <w:tc>
                <w:tcPr>
                  <w:tcW w:w="815" w:type="dxa"/>
                  <w:noWrap w:val="0"/>
                  <w:vAlign w:val="center"/>
                </w:tcPr>
                <w:p w14:paraId="0BCAB3A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c>
                <w:tcPr>
                  <w:tcW w:w="629" w:type="dxa"/>
                  <w:noWrap w:val="0"/>
                  <w:vAlign w:val="center"/>
                </w:tcPr>
                <w:p w14:paraId="386CE217">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317</w:t>
                  </w:r>
                </w:p>
              </w:tc>
              <w:tc>
                <w:tcPr>
                  <w:tcW w:w="753" w:type="dxa"/>
                  <w:noWrap w:val="0"/>
                  <w:vAlign w:val="center"/>
                </w:tcPr>
                <w:p w14:paraId="53CD034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r>
            <w:tr w14:paraId="1F98BD4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4E72ED57">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14</w:t>
                  </w:r>
                </w:p>
              </w:tc>
              <w:tc>
                <w:tcPr>
                  <w:tcW w:w="1076" w:type="dxa"/>
                  <w:noWrap w:val="0"/>
                  <w:vAlign w:val="center"/>
                </w:tcPr>
                <w:p w14:paraId="042B57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智能压浆设备</w:t>
                  </w:r>
                </w:p>
              </w:tc>
              <w:tc>
                <w:tcPr>
                  <w:tcW w:w="446" w:type="dxa"/>
                  <w:noWrap w:val="0"/>
                  <w:vAlign w:val="center"/>
                </w:tcPr>
                <w:p w14:paraId="3CDD287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24411D54">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623" w:type="dxa"/>
                  <w:noWrap w:val="0"/>
                  <w:vAlign w:val="center"/>
                </w:tcPr>
                <w:p w14:paraId="78A3E85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144</w:t>
                  </w:r>
                </w:p>
              </w:tc>
              <w:tc>
                <w:tcPr>
                  <w:tcW w:w="805" w:type="dxa"/>
                  <w:noWrap w:val="0"/>
                  <w:vAlign w:val="center"/>
                </w:tcPr>
                <w:p w14:paraId="1BAB9E7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c>
                <w:tcPr>
                  <w:tcW w:w="567" w:type="dxa"/>
                  <w:noWrap w:val="0"/>
                  <w:vAlign w:val="center"/>
                </w:tcPr>
                <w:p w14:paraId="05FE7AA4">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259</w:t>
                  </w:r>
                </w:p>
              </w:tc>
              <w:tc>
                <w:tcPr>
                  <w:tcW w:w="815" w:type="dxa"/>
                  <w:noWrap w:val="0"/>
                  <w:vAlign w:val="center"/>
                </w:tcPr>
                <w:p w14:paraId="3A408EB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w:t>
                  </w:r>
                </w:p>
              </w:tc>
              <w:tc>
                <w:tcPr>
                  <w:tcW w:w="629" w:type="dxa"/>
                  <w:noWrap w:val="0"/>
                  <w:vAlign w:val="center"/>
                </w:tcPr>
                <w:p w14:paraId="2161F913">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285</w:t>
                  </w:r>
                </w:p>
              </w:tc>
              <w:tc>
                <w:tcPr>
                  <w:tcW w:w="753" w:type="dxa"/>
                  <w:noWrap w:val="0"/>
                  <w:vAlign w:val="center"/>
                </w:tcPr>
                <w:p w14:paraId="377EB4E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w:t>
                  </w:r>
                </w:p>
              </w:tc>
            </w:tr>
            <w:tr w14:paraId="25A67FD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1E8558B7">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15</w:t>
                  </w:r>
                </w:p>
              </w:tc>
              <w:tc>
                <w:tcPr>
                  <w:tcW w:w="1076" w:type="dxa"/>
                  <w:noWrap w:val="0"/>
                  <w:vAlign w:val="center"/>
                </w:tcPr>
                <w:p w14:paraId="408989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自动喷淋养护系统</w:t>
                  </w:r>
                </w:p>
              </w:tc>
              <w:tc>
                <w:tcPr>
                  <w:tcW w:w="446" w:type="dxa"/>
                  <w:noWrap w:val="0"/>
                  <w:vAlign w:val="center"/>
                </w:tcPr>
                <w:p w14:paraId="4E1124D1">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54A53682">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5A5F41A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234</w:t>
                  </w:r>
                </w:p>
              </w:tc>
              <w:tc>
                <w:tcPr>
                  <w:tcW w:w="805" w:type="dxa"/>
                  <w:noWrap w:val="0"/>
                  <w:vAlign w:val="center"/>
                </w:tcPr>
                <w:p w14:paraId="704A881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567" w:type="dxa"/>
                  <w:noWrap w:val="0"/>
                  <w:vAlign w:val="center"/>
                </w:tcPr>
                <w:p w14:paraId="68A5770C">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349</w:t>
                  </w:r>
                </w:p>
              </w:tc>
              <w:tc>
                <w:tcPr>
                  <w:tcW w:w="815" w:type="dxa"/>
                  <w:noWrap w:val="0"/>
                  <w:vAlign w:val="center"/>
                </w:tcPr>
                <w:p w14:paraId="08A9293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w:t>
                  </w:r>
                </w:p>
              </w:tc>
              <w:tc>
                <w:tcPr>
                  <w:tcW w:w="629" w:type="dxa"/>
                  <w:noWrap w:val="0"/>
                  <w:vAlign w:val="center"/>
                </w:tcPr>
                <w:p w14:paraId="1879CB6B">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396</w:t>
                  </w:r>
                </w:p>
              </w:tc>
              <w:tc>
                <w:tcPr>
                  <w:tcW w:w="753" w:type="dxa"/>
                  <w:noWrap w:val="0"/>
                  <w:vAlign w:val="center"/>
                </w:tcPr>
                <w:p w14:paraId="433A31C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w:t>
                  </w:r>
                </w:p>
              </w:tc>
            </w:tr>
            <w:tr w14:paraId="3AB311F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658F86D1">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16</w:t>
                  </w:r>
                </w:p>
              </w:tc>
              <w:tc>
                <w:tcPr>
                  <w:tcW w:w="1076" w:type="dxa"/>
                  <w:noWrap w:val="0"/>
                  <w:vAlign w:val="center"/>
                </w:tcPr>
                <w:p w14:paraId="760BED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446" w:type="dxa"/>
                  <w:noWrap w:val="0"/>
                  <w:vAlign w:val="center"/>
                </w:tcPr>
                <w:p w14:paraId="1B1DF7B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447" w:type="dxa"/>
                  <w:noWrap w:val="0"/>
                  <w:vAlign w:val="center"/>
                </w:tcPr>
                <w:p w14:paraId="7D5D766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623" w:type="dxa"/>
                  <w:noWrap w:val="0"/>
                  <w:vAlign w:val="center"/>
                </w:tcPr>
                <w:p w14:paraId="465CEA67">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203</w:t>
                  </w:r>
                </w:p>
              </w:tc>
              <w:tc>
                <w:tcPr>
                  <w:tcW w:w="805" w:type="dxa"/>
                  <w:noWrap w:val="0"/>
                  <w:vAlign w:val="center"/>
                </w:tcPr>
                <w:p w14:paraId="3037206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67" w:type="dxa"/>
                  <w:noWrap w:val="0"/>
                  <w:vAlign w:val="center"/>
                </w:tcPr>
                <w:p w14:paraId="59D0233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321</w:t>
                  </w:r>
                </w:p>
              </w:tc>
              <w:tc>
                <w:tcPr>
                  <w:tcW w:w="815" w:type="dxa"/>
                  <w:noWrap w:val="0"/>
                  <w:vAlign w:val="center"/>
                </w:tcPr>
                <w:p w14:paraId="0035CE5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629" w:type="dxa"/>
                  <w:noWrap w:val="0"/>
                  <w:vAlign w:val="center"/>
                </w:tcPr>
                <w:p w14:paraId="640C49B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365</w:t>
                  </w:r>
                </w:p>
              </w:tc>
              <w:tc>
                <w:tcPr>
                  <w:tcW w:w="753" w:type="dxa"/>
                  <w:noWrap w:val="0"/>
                  <w:vAlign w:val="center"/>
                </w:tcPr>
                <w:p w14:paraId="7C732CA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r>
            <w:tr w14:paraId="345075B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00" w:type="dxa"/>
                  <w:noWrap w:val="0"/>
                  <w:vAlign w:val="center"/>
                </w:tcPr>
                <w:p w14:paraId="3797E95C">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17</w:t>
                  </w:r>
                </w:p>
              </w:tc>
              <w:tc>
                <w:tcPr>
                  <w:tcW w:w="1076" w:type="dxa"/>
                  <w:noWrap w:val="0"/>
                  <w:vAlign w:val="center"/>
                </w:tcPr>
                <w:p w14:paraId="2D49B2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446" w:type="dxa"/>
                  <w:noWrap w:val="0"/>
                  <w:vAlign w:val="center"/>
                </w:tcPr>
                <w:p w14:paraId="7053E5E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p>
              </w:tc>
              <w:tc>
                <w:tcPr>
                  <w:tcW w:w="447" w:type="dxa"/>
                  <w:noWrap w:val="0"/>
                  <w:vAlign w:val="center"/>
                </w:tcPr>
                <w:p w14:paraId="77BFA70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623" w:type="dxa"/>
                  <w:noWrap w:val="0"/>
                  <w:vAlign w:val="center"/>
                </w:tcPr>
                <w:p w14:paraId="2984D9F5">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158</w:t>
                  </w:r>
                </w:p>
              </w:tc>
              <w:tc>
                <w:tcPr>
                  <w:tcW w:w="805" w:type="dxa"/>
                  <w:noWrap w:val="0"/>
                  <w:vAlign w:val="center"/>
                </w:tcPr>
                <w:p w14:paraId="0387E88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567" w:type="dxa"/>
                  <w:noWrap w:val="0"/>
                  <w:vAlign w:val="center"/>
                </w:tcPr>
                <w:p w14:paraId="4AB81B76">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296</w:t>
                  </w:r>
                </w:p>
              </w:tc>
              <w:tc>
                <w:tcPr>
                  <w:tcW w:w="815" w:type="dxa"/>
                  <w:noWrap w:val="0"/>
                  <w:vAlign w:val="center"/>
                </w:tcPr>
                <w:p w14:paraId="0B28692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629" w:type="dxa"/>
                  <w:noWrap w:val="0"/>
                  <w:vAlign w:val="center"/>
                </w:tcPr>
                <w:p w14:paraId="72DAA0D9">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339</w:t>
                  </w:r>
                </w:p>
              </w:tc>
              <w:tc>
                <w:tcPr>
                  <w:tcW w:w="753" w:type="dxa"/>
                  <w:noWrap w:val="0"/>
                  <w:vAlign w:val="center"/>
                </w:tcPr>
                <w:p w14:paraId="0753E16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r>
            <w:tr w14:paraId="41B48E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369" w:type="dxa"/>
                  <w:gridSpan w:val="4"/>
                  <w:noWrap w:val="0"/>
                  <w:vAlign w:val="center"/>
                </w:tcPr>
                <w:p w14:paraId="670B5EC6">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厂界贡献值</w:t>
                  </w:r>
                </w:p>
              </w:tc>
              <w:tc>
                <w:tcPr>
                  <w:tcW w:w="1428" w:type="dxa"/>
                  <w:gridSpan w:val="2"/>
                  <w:noWrap w:val="0"/>
                  <w:vAlign w:val="center"/>
                </w:tcPr>
                <w:p w14:paraId="77004460">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48</w:t>
                  </w:r>
                </w:p>
              </w:tc>
              <w:tc>
                <w:tcPr>
                  <w:tcW w:w="1382" w:type="dxa"/>
                  <w:gridSpan w:val="2"/>
                  <w:noWrap w:val="0"/>
                  <w:vAlign w:val="center"/>
                </w:tcPr>
                <w:p w14:paraId="7750C741">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39</w:t>
                  </w:r>
                </w:p>
              </w:tc>
              <w:tc>
                <w:tcPr>
                  <w:tcW w:w="1382" w:type="dxa"/>
                  <w:gridSpan w:val="2"/>
                  <w:noWrap w:val="0"/>
                  <w:vAlign w:val="center"/>
                </w:tcPr>
                <w:p w14:paraId="5CEEC49D">
                  <w:pPr>
                    <w:jc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8"/>
                      <w:szCs w:val="21"/>
                      <w:highlight w:val="none"/>
                      <w:lang w:val="en-US" w:eastAsia="zh-CN"/>
                      <w14:textFill>
                        <w14:solidFill>
                          <w14:schemeClr w14:val="tx1"/>
                        </w14:solidFill>
                      </w14:textFill>
                    </w:rPr>
                    <w:t>44</w:t>
                  </w:r>
                </w:p>
              </w:tc>
            </w:tr>
            <w:tr w14:paraId="7762A32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369" w:type="dxa"/>
                  <w:gridSpan w:val="4"/>
                  <w:noWrap w:val="0"/>
                  <w:vAlign w:val="center"/>
                </w:tcPr>
                <w:p w14:paraId="46EE84A7">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标准值</w:t>
                  </w:r>
                </w:p>
              </w:tc>
              <w:tc>
                <w:tcPr>
                  <w:tcW w:w="4192" w:type="dxa"/>
                  <w:gridSpan w:val="6"/>
                  <w:noWrap w:val="0"/>
                  <w:vAlign w:val="center"/>
                </w:tcPr>
                <w:p w14:paraId="29112456">
                  <w:pPr>
                    <w:jc w:val="center"/>
                    <w:rPr>
                      <w:rFonts w:hint="eastAsia" w:ascii="Times New Roman" w:hAnsi="Times New Roman" w:eastAsia="宋体" w:cs="Times New Roman"/>
                      <w:color w:val="000000" w:themeColor="text1"/>
                      <w:kern w:val="28"/>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昼间≤60dB（A）</w:t>
                  </w: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；夜</w:t>
                  </w:r>
                  <w:r>
                    <w:rPr>
                      <w:rFonts w:hint="default" w:ascii="Times New Roman" w:hAnsi="Times New Roman" w:eastAsia="宋体" w:cs="Times New Roman"/>
                      <w:color w:val="000000" w:themeColor="text1"/>
                      <w:szCs w:val="21"/>
                      <w:highlight w:val="none"/>
                      <w14:textFill>
                        <w14:solidFill>
                          <w14:schemeClr w14:val="tx1"/>
                        </w14:solidFill>
                      </w14:textFill>
                    </w:rPr>
                    <w:t>间≤</w:t>
                  </w: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Cs w:val="21"/>
                      <w:highlight w:val="none"/>
                      <w14:textFill>
                        <w14:solidFill>
                          <w14:schemeClr w14:val="tx1"/>
                        </w14:solidFill>
                      </w14:textFill>
                    </w:rPr>
                    <w:t>0dB（A）</w:t>
                  </w:r>
                </w:p>
              </w:tc>
            </w:tr>
          </w:tbl>
          <w:p w14:paraId="6F04D502">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由上表预测结果可以看出，项目运营期各噪声源经降噪措施处理后，四厂界噪声均满足《工业企业厂界环境噪声排放标准》（GB12348-2008）</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14:textFill>
                  <w14:solidFill>
                    <w14:schemeClr w14:val="tx1"/>
                  </w14:solidFill>
                </w14:textFill>
              </w:rPr>
              <w:t>类标准（昼间：</w:t>
            </w:r>
            <w:r>
              <w:rPr>
                <w:rFonts w:hint="eastAsia"/>
                <w:color w:val="000000" w:themeColor="text1"/>
                <w:sz w:val="24"/>
                <w:szCs w:val="24"/>
                <w:highlight w:val="none"/>
                <w:lang w:val="en-US" w:eastAsia="zh-CN"/>
                <w14:textFill>
                  <w14:solidFill>
                    <w14:schemeClr w14:val="tx1"/>
                  </w14:solidFill>
                </w14:textFill>
              </w:rPr>
              <w:t>60</w:t>
            </w:r>
            <w:r>
              <w:rPr>
                <w:rFonts w:hint="eastAsia"/>
                <w:color w:val="000000" w:themeColor="text1"/>
                <w:sz w:val="24"/>
                <w:szCs w:val="24"/>
                <w:highlight w:val="none"/>
                <w14:textFill>
                  <w14:solidFill>
                    <w14:schemeClr w14:val="tx1"/>
                  </w14:solidFill>
                </w14:textFill>
              </w:rPr>
              <w:t>dB（A）</w:t>
            </w:r>
            <w:r>
              <w:rPr>
                <w:rFonts w:hint="eastAsia"/>
                <w:color w:val="000000" w:themeColor="text1"/>
                <w:sz w:val="24"/>
                <w:szCs w:val="24"/>
                <w:highlight w:val="none"/>
                <w:lang w:eastAsia="zh-CN"/>
                <w14:textFill>
                  <w14:solidFill>
                    <w14:schemeClr w14:val="tx1"/>
                  </w14:solidFill>
                </w14:textFill>
              </w:rPr>
              <w:t>、夜间</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50</w:t>
            </w:r>
            <w:r>
              <w:rPr>
                <w:rFonts w:hint="eastAsia"/>
                <w:color w:val="000000" w:themeColor="text1"/>
                <w:sz w:val="24"/>
                <w:szCs w:val="24"/>
                <w:highlight w:val="none"/>
                <w14:textFill>
                  <w14:solidFill>
                    <w14:schemeClr w14:val="tx1"/>
                  </w14:solidFill>
                </w14:textFill>
              </w:rPr>
              <w:t>dB（A））的限值要求。</w:t>
            </w:r>
          </w:p>
          <w:p w14:paraId="1F609F3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（3）敏感点噪声预测</w:t>
            </w:r>
          </w:p>
          <w:p w14:paraId="2CD97CE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根据现场踏勘，</w:t>
            </w:r>
            <w:r>
              <w:rPr>
                <w:rFonts w:hint="eastAsia"/>
                <w:color w:val="000000" w:themeColor="text1"/>
                <w:sz w:val="24"/>
                <w:szCs w:val="24"/>
                <w:highlight w:val="none"/>
                <w:lang w:eastAsia="zh-CN"/>
                <w14:textFill>
                  <w14:solidFill>
                    <w14:schemeClr w14:val="tx1"/>
                  </w14:solidFill>
                </w14:textFill>
              </w:rPr>
              <w:t>本</w:t>
            </w:r>
            <w:r>
              <w:rPr>
                <w:rFonts w:hint="eastAsia"/>
                <w:color w:val="000000" w:themeColor="text1"/>
                <w:sz w:val="24"/>
                <w:szCs w:val="24"/>
                <w:highlight w:val="none"/>
                <w14:textFill>
                  <w14:solidFill>
                    <w14:schemeClr w14:val="tx1"/>
                  </w14:solidFill>
                </w14:textFill>
              </w:rPr>
              <w:t>项目</w:t>
            </w:r>
            <w:r>
              <w:rPr>
                <w:rFonts w:hint="eastAsia"/>
                <w:color w:val="000000" w:themeColor="text1"/>
                <w:sz w:val="24"/>
                <w:szCs w:val="24"/>
                <w:highlight w:val="none"/>
                <w:lang w:eastAsia="zh-CN"/>
                <w14:textFill>
                  <w14:solidFill>
                    <w14:schemeClr w14:val="tx1"/>
                  </w14:solidFill>
                </w14:textFill>
              </w:rPr>
              <w:t>距离最近敏感点为南</w:t>
            </w:r>
            <w:r>
              <w:rPr>
                <w:rFonts w:hint="eastAsia"/>
                <w:color w:val="000000" w:themeColor="text1"/>
                <w:sz w:val="24"/>
                <w:szCs w:val="24"/>
                <w:highlight w:val="none"/>
                <w14:textFill>
                  <w14:solidFill>
                    <w14:schemeClr w14:val="tx1"/>
                  </w14:solidFill>
                </w14:textFill>
              </w:rPr>
              <w:t>侧</w:t>
            </w:r>
            <w:r>
              <w:rPr>
                <w:rFonts w:hint="eastAsia"/>
                <w:color w:val="000000" w:themeColor="text1"/>
                <w:sz w:val="24"/>
                <w:szCs w:val="24"/>
                <w:highlight w:val="none"/>
                <w:lang w:val="en-US" w:eastAsia="zh-CN"/>
                <w14:textFill>
                  <w14:solidFill>
                    <w14:schemeClr w14:val="tx1"/>
                  </w14:solidFill>
                </w14:textFill>
              </w:rPr>
              <w:t>、东北侧</w:t>
            </w:r>
            <w:r>
              <w:rPr>
                <w:rFonts w:hint="eastAsia"/>
                <w:color w:val="000000" w:themeColor="text1"/>
                <w:sz w:val="24"/>
                <w:szCs w:val="24"/>
                <w:highlight w:val="none"/>
                <w14:textFill>
                  <w14:solidFill>
                    <w14:schemeClr w14:val="tx1"/>
                  </w14:solidFill>
                </w14:textFill>
              </w:rPr>
              <w:t>居民</w:t>
            </w:r>
            <w:r>
              <w:rPr>
                <w:rFonts w:hint="eastAsia"/>
                <w:color w:val="000000" w:themeColor="text1"/>
                <w:sz w:val="24"/>
                <w:szCs w:val="24"/>
                <w:highlight w:val="none"/>
                <w:lang w:eastAsia="zh-CN"/>
                <w14:textFill>
                  <w14:solidFill>
                    <w14:schemeClr w14:val="tx1"/>
                  </w14:solidFill>
                </w14:textFill>
              </w:rPr>
              <w:t>，预测</w:t>
            </w:r>
            <w:r>
              <w:rPr>
                <w:rFonts w:hint="eastAsia"/>
                <w:color w:val="000000" w:themeColor="text1"/>
                <w:sz w:val="24"/>
                <w:szCs w:val="24"/>
                <w:highlight w:val="none"/>
                <w14:textFill>
                  <w14:solidFill>
                    <w14:schemeClr w14:val="tx1"/>
                  </w14:solidFill>
                </w14:textFill>
              </w:rPr>
              <w:t>结果详见下表。</w:t>
            </w:r>
          </w:p>
          <w:p w14:paraId="342EC57C">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12</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eastAsia="zh-CN"/>
                <w14:textFill>
                  <w14:solidFill>
                    <w14:schemeClr w14:val="tx1"/>
                  </w14:solidFill>
                </w14:textFill>
              </w:rPr>
              <w:t>敏感点噪声预测结果</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505"/>
              <w:gridCol w:w="1103"/>
              <w:gridCol w:w="1087"/>
              <w:gridCol w:w="1358"/>
              <w:gridCol w:w="545"/>
              <w:gridCol w:w="545"/>
              <w:gridCol w:w="545"/>
              <w:gridCol w:w="547"/>
              <w:gridCol w:w="704"/>
            </w:tblGrid>
            <w:tr w14:paraId="518F0D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60" w:hRule="atLeast"/>
                <w:tblHeader/>
                <w:jc w:val="center"/>
              </w:trPr>
              <w:tc>
                <w:tcPr>
                  <w:tcW w:w="947" w:type="pct"/>
                  <w:vMerge w:val="restart"/>
                  <w:tcBorders>
                    <w:tl2br w:val="nil"/>
                    <w:tr2bl w:val="nil"/>
                  </w:tcBorders>
                  <w:vAlign w:val="center"/>
                </w:tcPr>
                <w:p w14:paraId="7AB8E7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位置</w:t>
                  </w:r>
                </w:p>
              </w:tc>
              <w:tc>
                <w:tcPr>
                  <w:tcW w:w="694" w:type="pct"/>
                  <w:vMerge w:val="restart"/>
                  <w:tcBorders>
                    <w:tl2br w:val="nil"/>
                    <w:tr2bl w:val="nil"/>
                  </w:tcBorders>
                  <w:vAlign w:val="center"/>
                </w:tcPr>
                <w:p w14:paraId="1345C9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厂界贡献值dB（A）</w:t>
                  </w:r>
                </w:p>
              </w:tc>
              <w:tc>
                <w:tcPr>
                  <w:tcW w:w="684" w:type="pct"/>
                  <w:vMerge w:val="restart"/>
                  <w:tcBorders>
                    <w:tl2br w:val="nil"/>
                    <w:tr2bl w:val="nil"/>
                  </w:tcBorders>
                  <w:vAlign w:val="center"/>
                </w:tcPr>
                <w:p w14:paraId="1E2740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居民</w:t>
                  </w:r>
                  <w:r>
                    <w:rPr>
                      <w:rFonts w:hint="eastAsia" w:ascii="Times New Roman" w:hAnsi="Times New Roman" w:eastAsia="宋体"/>
                      <w:b/>
                      <w:bCs/>
                      <w:color w:val="000000" w:themeColor="text1"/>
                      <w:szCs w:val="21"/>
                      <w:highlight w:val="none"/>
                      <w14:textFill>
                        <w14:solidFill>
                          <w14:schemeClr w14:val="tx1"/>
                        </w14:solidFill>
                      </w14:textFill>
                    </w:rPr>
                    <w:t>与厂界距离（m）</w:t>
                  </w:r>
                </w:p>
              </w:tc>
              <w:tc>
                <w:tcPr>
                  <w:tcW w:w="855" w:type="pct"/>
                  <w:vMerge w:val="restart"/>
                  <w:tcBorders>
                    <w:tl2br w:val="nil"/>
                    <w:tr2bl w:val="nil"/>
                  </w:tcBorders>
                  <w:vAlign w:val="center"/>
                </w:tcPr>
                <w:p w14:paraId="1E1BB69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贡献值</w:t>
                  </w:r>
                  <w:r>
                    <w:rPr>
                      <w:rFonts w:hint="eastAsia" w:ascii="Times New Roman" w:hAnsi="Times New Roman" w:eastAsia="宋体"/>
                      <w:b/>
                      <w:bCs/>
                      <w:color w:val="000000" w:themeColor="text1"/>
                      <w:szCs w:val="21"/>
                      <w:highlight w:val="none"/>
                      <w14:textFill>
                        <w14:solidFill>
                          <w14:schemeClr w14:val="tx1"/>
                        </w14:solidFill>
                      </w14:textFill>
                    </w:rPr>
                    <w:t>dB（A）</w:t>
                  </w:r>
                </w:p>
              </w:tc>
              <w:tc>
                <w:tcPr>
                  <w:tcW w:w="686" w:type="pct"/>
                  <w:gridSpan w:val="2"/>
                  <w:tcBorders>
                    <w:tl2br w:val="nil"/>
                    <w:tr2bl w:val="nil"/>
                  </w:tcBorders>
                  <w:vAlign w:val="center"/>
                </w:tcPr>
                <w:p w14:paraId="306B87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敏感点背景值dB（A）</w:t>
                  </w:r>
                </w:p>
              </w:tc>
              <w:tc>
                <w:tcPr>
                  <w:tcW w:w="687" w:type="pct"/>
                  <w:gridSpan w:val="2"/>
                  <w:tcBorders>
                    <w:tl2br w:val="nil"/>
                    <w:tr2bl w:val="nil"/>
                  </w:tcBorders>
                  <w:vAlign w:val="center"/>
                </w:tcPr>
                <w:p w14:paraId="3B5849D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预测值</w:t>
                  </w:r>
                </w:p>
                <w:p w14:paraId="2AEA8C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dB（A）</w:t>
                  </w:r>
                </w:p>
              </w:tc>
              <w:tc>
                <w:tcPr>
                  <w:tcW w:w="443" w:type="pct"/>
                  <w:vMerge w:val="restart"/>
                  <w:tcBorders>
                    <w:tl2br w:val="nil"/>
                    <w:tr2bl w:val="nil"/>
                  </w:tcBorders>
                  <w:vAlign w:val="center"/>
                </w:tcPr>
                <w:p w14:paraId="267ACC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达标</w:t>
                  </w:r>
                </w:p>
                <w:p w14:paraId="72EDBD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情况</w:t>
                  </w:r>
                </w:p>
              </w:tc>
            </w:tr>
            <w:tr w14:paraId="4EE949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60" w:hRule="atLeast"/>
                <w:tblHeader/>
                <w:jc w:val="center"/>
              </w:trPr>
              <w:tc>
                <w:tcPr>
                  <w:tcW w:w="947" w:type="pct"/>
                  <w:vMerge w:val="continue"/>
                  <w:tcBorders>
                    <w:tl2br w:val="nil"/>
                    <w:tr2bl w:val="nil"/>
                  </w:tcBorders>
                  <w:vAlign w:val="center"/>
                </w:tcPr>
                <w:p w14:paraId="6FE56BE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694" w:type="pct"/>
                  <w:vMerge w:val="continue"/>
                  <w:tcBorders>
                    <w:tl2br w:val="nil"/>
                    <w:tr2bl w:val="nil"/>
                  </w:tcBorders>
                  <w:vAlign w:val="center"/>
                </w:tcPr>
                <w:p w14:paraId="0881DF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684" w:type="pct"/>
                  <w:vMerge w:val="continue"/>
                  <w:tcBorders>
                    <w:tl2br w:val="nil"/>
                    <w:tr2bl w:val="nil"/>
                  </w:tcBorders>
                  <w:vAlign w:val="center"/>
                </w:tcPr>
                <w:p w14:paraId="70EC23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855" w:type="pct"/>
                  <w:vMerge w:val="continue"/>
                  <w:tcBorders>
                    <w:tl2br w:val="nil"/>
                    <w:tr2bl w:val="nil"/>
                  </w:tcBorders>
                  <w:vAlign w:val="center"/>
                </w:tcPr>
                <w:p w14:paraId="50FF8A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343" w:type="pct"/>
                  <w:tcBorders>
                    <w:tl2br w:val="nil"/>
                    <w:tr2bl w:val="nil"/>
                  </w:tcBorders>
                  <w:vAlign w:val="center"/>
                </w:tcPr>
                <w:p w14:paraId="4C9AFB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昼间</w:t>
                  </w:r>
                </w:p>
              </w:tc>
              <w:tc>
                <w:tcPr>
                  <w:tcW w:w="343" w:type="pct"/>
                  <w:tcBorders>
                    <w:tl2br w:val="nil"/>
                    <w:tr2bl w:val="nil"/>
                  </w:tcBorders>
                  <w:vAlign w:val="center"/>
                </w:tcPr>
                <w:p w14:paraId="701D47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夜间</w:t>
                  </w:r>
                </w:p>
              </w:tc>
              <w:tc>
                <w:tcPr>
                  <w:tcW w:w="343" w:type="pct"/>
                  <w:tcBorders>
                    <w:tl2br w:val="nil"/>
                    <w:tr2bl w:val="nil"/>
                  </w:tcBorders>
                  <w:vAlign w:val="center"/>
                </w:tcPr>
                <w:p w14:paraId="607E08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昼间</w:t>
                  </w:r>
                </w:p>
              </w:tc>
              <w:tc>
                <w:tcPr>
                  <w:tcW w:w="344" w:type="pct"/>
                  <w:tcBorders>
                    <w:tl2br w:val="nil"/>
                    <w:tr2bl w:val="nil"/>
                  </w:tcBorders>
                  <w:vAlign w:val="center"/>
                </w:tcPr>
                <w:p w14:paraId="459D43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夜间</w:t>
                  </w:r>
                </w:p>
              </w:tc>
              <w:tc>
                <w:tcPr>
                  <w:tcW w:w="443" w:type="pct"/>
                  <w:vMerge w:val="continue"/>
                  <w:tcBorders>
                    <w:tl2br w:val="nil"/>
                    <w:tr2bl w:val="nil"/>
                  </w:tcBorders>
                  <w:vAlign w:val="center"/>
                </w:tcPr>
                <w:p w14:paraId="4571B2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p>
              </w:tc>
            </w:tr>
            <w:tr w14:paraId="208B40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947" w:type="pct"/>
                  <w:tcBorders>
                    <w:tl2br w:val="nil"/>
                    <w:tr2bl w:val="nil"/>
                  </w:tcBorders>
                  <w:vAlign w:val="center"/>
                </w:tcPr>
                <w:p w14:paraId="6D79DB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南侧</w:t>
                  </w:r>
                  <w:r>
                    <w:rPr>
                      <w:rFonts w:hint="eastAsia" w:ascii="Times New Roman" w:hAnsi="Times New Roman" w:eastAsia="宋体"/>
                      <w:color w:val="000000" w:themeColor="text1"/>
                      <w:szCs w:val="21"/>
                      <w:highlight w:val="none"/>
                      <w:lang w:val="en-US" w:eastAsia="zh-CN"/>
                      <w14:textFill>
                        <w14:solidFill>
                          <w14:schemeClr w14:val="tx1"/>
                        </w14:solidFill>
                      </w14:textFill>
                    </w:rPr>
                    <w:t>1#</w:t>
                  </w:r>
                  <w:r>
                    <w:rPr>
                      <w:rFonts w:hint="eastAsia" w:ascii="Times New Roman" w:hAnsi="Times New Roman" w:eastAsia="宋体"/>
                      <w:color w:val="000000" w:themeColor="text1"/>
                      <w:szCs w:val="21"/>
                      <w:highlight w:val="none"/>
                      <w14:textFill>
                        <w14:solidFill>
                          <w14:schemeClr w14:val="tx1"/>
                        </w14:solidFill>
                      </w14:textFill>
                    </w:rPr>
                    <w:t>居民</w:t>
                  </w:r>
                </w:p>
              </w:tc>
              <w:tc>
                <w:tcPr>
                  <w:tcW w:w="694" w:type="pct"/>
                  <w:tcBorders>
                    <w:tl2br w:val="nil"/>
                    <w:tr2bl w:val="nil"/>
                  </w:tcBorders>
                  <w:vAlign w:val="center"/>
                </w:tcPr>
                <w:p w14:paraId="3AE9A8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39</w:t>
                  </w:r>
                </w:p>
              </w:tc>
              <w:tc>
                <w:tcPr>
                  <w:tcW w:w="684" w:type="pct"/>
                  <w:tcBorders>
                    <w:tl2br w:val="nil"/>
                    <w:tr2bl w:val="nil"/>
                  </w:tcBorders>
                  <w:vAlign w:val="center"/>
                </w:tcPr>
                <w:p w14:paraId="2F95CBF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w:t>
                  </w:r>
                </w:p>
              </w:tc>
              <w:tc>
                <w:tcPr>
                  <w:tcW w:w="855" w:type="pct"/>
                  <w:tcBorders>
                    <w:tl2br w:val="nil"/>
                    <w:tr2bl w:val="nil"/>
                  </w:tcBorders>
                  <w:vAlign w:val="center"/>
                </w:tcPr>
                <w:p w14:paraId="75ED1CE4">
                  <w:pPr>
                    <w:keepNext w:val="0"/>
                    <w:keepLines w:val="0"/>
                    <w:widowControl/>
                    <w:suppressLineNumbers w:val="0"/>
                    <w:jc w:val="center"/>
                    <w:textAlignment w:val="center"/>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343" w:type="pct"/>
                  <w:tcBorders>
                    <w:tl2br w:val="nil"/>
                    <w:tr2bl w:val="nil"/>
                  </w:tcBorders>
                  <w:vAlign w:val="center"/>
                </w:tcPr>
                <w:p w14:paraId="1475D68C">
                  <w:pPr>
                    <w:jc w:val="center"/>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52</w:t>
                  </w:r>
                </w:p>
              </w:tc>
              <w:tc>
                <w:tcPr>
                  <w:tcW w:w="343" w:type="pct"/>
                  <w:tcBorders>
                    <w:tl2br w:val="nil"/>
                    <w:tr2bl w:val="nil"/>
                  </w:tcBorders>
                  <w:vAlign w:val="center"/>
                </w:tcPr>
                <w:p w14:paraId="105A5BFC">
                  <w:pPr>
                    <w:jc w:val="center"/>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43</w:t>
                  </w:r>
                </w:p>
              </w:tc>
              <w:tc>
                <w:tcPr>
                  <w:tcW w:w="343" w:type="pct"/>
                  <w:tcBorders>
                    <w:tl2br w:val="nil"/>
                    <w:tr2bl w:val="nil"/>
                  </w:tcBorders>
                  <w:vAlign w:val="center"/>
                </w:tcPr>
                <w:p w14:paraId="2B3B2BC0">
                  <w:pPr>
                    <w:jc w:val="center"/>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52</w:t>
                  </w:r>
                </w:p>
              </w:tc>
              <w:tc>
                <w:tcPr>
                  <w:tcW w:w="344" w:type="pct"/>
                  <w:tcBorders>
                    <w:tl2br w:val="nil"/>
                    <w:tr2bl w:val="nil"/>
                  </w:tcBorders>
                  <w:vAlign w:val="center"/>
                </w:tcPr>
                <w:p w14:paraId="173E4E5E">
                  <w:pPr>
                    <w:jc w:val="center"/>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43</w:t>
                  </w:r>
                </w:p>
              </w:tc>
              <w:tc>
                <w:tcPr>
                  <w:tcW w:w="443" w:type="pct"/>
                  <w:tcBorders>
                    <w:tl2br w:val="nil"/>
                    <w:tr2bl w:val="nil"/>
                  </w:tcBorders>
                  <w:vAlign w:val="center"/>
                </w:tcPr>
                <w:p w14:paraId="582878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达标</w:t>
                  </w:r>
                </w:p>
              </w:tc>
            </w:tr>
            <w:tr w14:paraId="2F5BBA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947" w:type="pct"/>
                  <w:tcBorders>
                    <w:tl2br w:val="nil"/>
                    <w:tr2bl w:val="nil"/>
                  </w:tcBorders>
                  <w:vAlign w:val="center"/>
                </w:tcPr>
                <w:p w14:paraId="11DD81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南侧</w:t>
                  </w:r>
                  <w:r>
                    <w:rPr>
                      <w:rFonts w:hint="eastAsia" w:ascii="Times New Roman" w:hAnsi="Times New Roman" w:eastAsia="宋体"/>
                      <w:color w:val="000000" w:themeColor="text1"/>
                      <w:szCs w:val="21"/>
                      <w:highlight w:val="none"/>
                      <w:lang w:val="en-US" w:eastAsia="zh-CN"/>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居民</w:t>
                  </w:r>
                </w:p>
              </w:tc>
              <w:tc>
                <w:tcPr>
                  <w:tcW w:w="694" w:type="pct"/>
                  <w:tcBorders>
                    <w:tl2br w:val="nil"/>
                    <w:tr2bl w:val="nil"/>
                  </w:tcBorders>
                  <w:vAlign w:val="center"/>
                </w:tcPr>
                <w:p w14:paraId="76DA98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39</w:t>
                  </w:r>
                </w:p>
              </w:tc>
              <w:tc>
                <w:tcPr>
                  <w:tcW w:w="684" w:type="pct"/>
                  <w:tcBorders>
                    <w:tl2br w:val="nil"/>
                    <w:tr2bl w:val="nil"/>
                  </w:tcBorders>
                  <w:vAlign w:val="center"/>
                </w:tcPr>
                <w:p w14:paraId="064507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8</w:t>
                  </w:r>
                </w:p>
              </w:tc>
              <w:tc>
                <w:tcPr>
                  <w:tcW w:w="855" w:type="pct"/>
                  <w:tcBorders>
                    <w:tl2br w:val="nil"/>
                    <w:tr2bl w:val="nil"/>
                  </w:tcBorders>
                  <w:vAlign w:val="center"/>
                </w:tcPr>
                <w:p w14:paraId="455A6144">
                  <w:pPr>
                    <w:keepNext w:val="0"/>
                    <w:keepLines w:val="0"/>
                    <w:widowControl/>
                    <w:suppressLineNumbers w:val="0"/>
                    <w:jc w:val="center"/>
                    <w:textAlignment w:val="center"/>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c>
                <w:tcPr>
                  <w:tcW w:w="343" w:type="pct"/>
                  <w:tcBorders>
                    <w:tl2br w:val="nil"/>
                    <w:tr2bl w:val="nil"/>
                  </w:tcBorders>
                  <w:vAlign w:val="center"/>
                </w:tcPr>
                <w:p w14:paraId="4B2DE4ED">
                  <w:pPr>
                    <w:jc w:val="center"/>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50</w:t>
                  </w:r>
                </w:p>
              </w:tc>
              <w:tc>
                <w:tcPr>
                  <w:tcW w:w="343" w:type="pct"/>
                  <w:tcBorders>
                    <w:tl2br w:val="nil"/>
                    <w:tr2bl w:val="nil"/>
                  </w:tcBorders>
                  <w:vAlign w:val="center"/>
                </w:tcPr>
                <w:p w14:paraId="7B22D538">
                  <w:pPr>
                    <w:jc w:val="center"/>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41</w:t>
                  </w:r>
                </w:p>
              </w:tc>
              <w:tc>
                <w:tcPr>
                  <w:tcW w:w="343" w:type="pct"/>
                  <w:tcBorders>
                    <w:tl2br w:val="nil"/>
                    <w:tr2bl w:val="nil"/>
                  </w:tcBorders>
                  <w:vAlign w:val="center"/>
                </w:tcPr>
                <w:p w14:paraId="269F4156">
                  <w:pPr>
                    <w:jc w:val="center"/>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50</w:t>
                  </w:r>
                </w:p>
              </w:tc>
              <w:tc>
                <w:tcPr>
                  <w:tcW w:w="344" w:type="pct"/>
                  <w:tcBorders>
                    <w:tl2br w:val="nil"/>
                    <w:tr2bl w:val="nil"/>
                  </w:tcBorders>
                  <w:vAlign w:val="center"/>
                </w:tcPr>
                <w:p w14:paraId="0E3547A0">
                  <w:pPr>
                    <w:jc w:val="center"/>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41</w:t>
                  </w:r>
                </w:p>
              </w:tc>
              <w:tc>
                <w:tcPr>
                  <w:tcW w:w="443" w:type="pct"/>
                  <w:tcBorders>
                    <w:tl2br w:val="nil"/>
                    <w:tr2bl w:val="nil"/>
                  </w:tcBorders>
                  <w:vAlign w:val="center"/>
                </w:tcPr>
                <w:p w14:paraId="5A3851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达标</w:t>
                  </w:r>
                </w:p>
              </w:tc>
            </w:tr>
            <w:tr w14:paraId="75FE6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947" w:type="pct"/>
                  <w:tcBorders>
                    <w:tl2br w:val="nil"/>
                    <w:tr2bl w:val="nil"/>
                  </w:tcBorders>
                  <w:vAlign w:val="center"/>
                </w:tcPr>
                <w:p w14:paraId="4A8335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东北侧</w:t>
                  </w:r>
                  <w:r>
                    <w:rPr>
                      <w:rFonts w:hint="eastAsia" w:ascii="Times New Roman" w:hAnsi="Times New Roman" w:eastAsia="宋体"/>
                      <w:color w:val="000000" w:themeColor="text1"/>
                      <w:szCs w:val="21"/>
                      <w:highlight w:val="none"/>
                      <w14:textFill>
                        <w14:solidFill>
                          <w14:schemeClr w14:val="tx1"/>
                        </w14:solidFill>
                      </w14:textFill>
                    </w:rPr>
                    <w:t>居民</w:t>
                  </w:r>
                </w:p>
              </w:tc>
              <w:tc>
                <w:tcPr>
                  <w:tcW w:w="694" w:type="pct"/>
                  <w:tcBorders>
                    <w:tl2br w:val="nil"/>
                    <w:tr2bl w:val="nil"/>
                  </w:tcBorders>
                  <w:vAlign w:val="center"/>
                </w:tcPr>
                <w:p w14:paraId="28F0C4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38</w:t>
                  </w:r>
                </w:p>
              </w:tc>
              <w:tc>
                <w:tcPr>
                  <w:tcW w:w="684" w:type="pct"/>
                  <w:tcBorders>
                    <w:tl2br w:val="nil"/>
                    <w:tr2bl w:val="nil"/>
                  </w:tcBorders>
                  <w:vAlign w:val="center"/>
                </w:tcPr>
                <w:p w14:paraId="206623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14</w:t>
                  </w:r>
                </w:p>
              </w:tc>
              <w:tc>
                <w:tcPr>
                  <w:tcW w:w="855" w:type="pct"/>
                  <w:tcBorders>
                    <w:tl2br w:val="nil"/>
                    <w:tr2bl w:val="nil"/>
                  </w:tcBorders>
                  <w:vAlign w:val="center"/>
                </w:tcPr>
                <w:p w14:paraId="5AD489E5">
                  <w:pPr>
                    <w:keepNext w:val="0"/>
                    <w:keepLines w:val="0"/>
                    <w:widowControl/>
                    <w:suppressLineNumbers w:val="0"/>
                    <w:jc w:val="center"/>
                    <w:textAlignment w:val="center"/>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15</w:t>
                  </w:r>
                </w:p>
              </w:tc>
              <w:tc>
                <w:tcPr>
                  <w:tcW w:w="343" w:type="pct"/>
                  <w:tcBorders>
                    <w:tl2br w:val="nil"/>
                    <w:tr2bl w:val="nil"/>
                  </w:tcBorders>
                  <w:vAlign w:val="center"/>
                </w:tcPr>
                <w:p w14:paraId="66972092">
                  <w:pPr>
                    <w:jc w:val="center"/>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51</w:t>
                  </w:r>
                </w:p>
              </w:tc>
              <w:tc>
                <w:tcPr>
                  <w:tcW w:w="343" w:type="pct"/>
                  <w:tcBorders>
                    <w:tl2br w:val="nil"/>
                    <w:tr2bl w:val="nil"/>
                  </w:tcBorders>
                  <w:vAlign w:val="center"/>
                </w:tcPr>
                <w:p w14:paraId="6E1FAD5B">
                  <w:pPr>
                    <w:jc w:val="center"/>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42</w:t>
                  </w:r>
                </w:p>
              </w:tc>
              <w:tc>
                <w:tcPr>
                  <w:tcW w:w="343" w:type="pct"/>
                  <w:tcBorders>
                    <w:tl2br w:val="nil"/>
                    <w:tr2bl w:val="nil"/>
                  </w:tcBorders>
                  <w:vAlign w:val="center"/>
                </w:tcPr>
                <w:p w14:paraId="53CEA9A2">
                  <w:pPr>
                    <w:jc w:val="center"/>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51</w:t>
                  </w:r>
                </w:p>
              </w:tc>
              <w:tc>
                <w:tcPr>
                  <w:tcW w:w="344" w:type="pct"/>
                  <w:tcBorders>
                    <w:tl2br w:val="nil"/>
                    <w:tr2bl w:val="nil"/>
                  </w:tcBorders>
                  <w:vAlign w:val="center"/>
                </w:tcPr>
                <w:p w14:paraId="64C03967">
                  <w:pPr>
                    <w:jc w:val="center"/>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4"/>
                      <w:highlight w:val="none"/>
                      <w:lang w:val="en-US" w:eastAsia="zh-CN"/>
                      <w14:textFill>
                        <w14:solidFill>
                          <w14:schemeClr w14:val="tx1"/>
                        </w14:solidFill>
                      </w14:textFill>
                    </w:rPr>
                    <w:t>42</w:t>
                  </w:r>
                </w:p>
              </w:tc>
              <w:tc>
                <w:tcPr>
                  <w:tcW w:w="443" w:type="pct"/>
                  <w:tcBorders>
                    <w:tl2br w:val="nil"/>
                    <w:tr2bl w:val="nil"/>
                  </w:tcBorders>
                  <w:vAlign w:val="center"/>
                </w:tcPr>
                <w:p w14:paraId="3BE48C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达标</w:t>
                  </w:r>
                </w:p>
              </w:tc>
            </w:tr>
          </w:tbl>
          <w:p w14:paraId="3B7F3247">
            <w:pPr>
              <w:pStyle w:val="10"/>
              <w:keepNext w:val="0"/>
              <w:keepLines w:val="0"/>
              <w:pageBreakBefore w:val="0"/>
              <w:widowControl w:val="0"/>
              <w:kinsoku/>
              <w:wordWrap w:val="0"/>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由上表可知，敏感点噪声预测值均能满足《声环境质量标准》（GB3096-2008）中2类标准（昼间：60dB（A）</w:t>
            </w:r>
            <w:r>
              <w:rPr>
                <w:rFonts w:hint="eastAsia"/>
                <w:color w:val="000000" w:themeColor="text1"/>
                <w:sz w:val="24"/>
                <w:szCs w:val="24"/>
                <w:highlight w:val="none"/>
                <w:lang w:eastAsia="zh-CN"/>
                <w14:textFill>
                  <w14:solidFill>
                    <w14:schemeClr w14:val="tx1"/>
                  </w14:solidFill>
                </w14:textFill>
              </w:rPr>
              <w:t>、夜间</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50</w:t>
            </w:r>
            <w:r>
              <w:rPr>
                <w:rFonts w:hint="eastAsia"/>
                <w:color w:val="000000" w:themeColor="text1"/>
                <w:sz w:val="24"/>
                <w:szCs w:val="24"/>
                <w:highlight w:val="none"/>
                <w14:textFill>
                  <w14:solidFill>
                    <w14:schemeClr w14:val="tx1"/>
                  </w14:solidFill>
                </w14:textFill>
              </w:rPr>
              <w:t>dB（A））要求。</w:t>
            </w:r>
          </w:p>
          <w:p w14:paraId="166576D1">
            <w:pPr>
              <w:keepNext w:val="0"/>
              <w:keepLines w:val="0"/>
              <w:pageBreakBefore w:val="0"/>
              <w:widowControl w:val="0"/>
              <w:kinsoku/>
              <w:wordWrap w:val="0"/>
              <w:overflowPunct/>
              <w:topLinePunct w:val="0"/>
              <w:autoSpaceDE/>
              <w:autoSpaceDN/>
              <w:bidi w:val="0"/>
              <w:adjustRightInd/>
              <w:snapToGrid/>
              <w:spacing w:beforeLines="0" w:afterLines="0"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14:textFill>
                  <w14:solidFill>
                    <w14:schemeClr w14:val="tx1"/>
                  </w14:solidFill>
                </w14:textFill>
              </w:rPr>
              <w:t>运输过程中对周围环境的影响评价</w:t>
            </w:r>
          </w:p>
          <w:p w14:paraId="0661A2CA">
            <w:pPr>
              <w:keepNext w:val="0"/>
              <w:keepLines w:val="0"/>
              <w:pageBreakBefore w:val="0"/>
              <w:widowControl w:val="0"/>
              <w:kinsoku/>
              <w:wordWrap w:val="0"/>
              <w:overflowPunct/>
              <w:topLinePunct w:val="0"/>
              <w:autoSpaceDE/>
              <w:autoSpaceDN/>
              <w:bidi w:val="0"/>
              <w:adjustRightInd/>
              <w:snapToGrid/>
              <w:spacing w:beforeLines="0" w:afterLines="0"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根据项目运输路线，运输道路均为己硬化道路，运输线路</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50m</w:t>
            </w:r>
            <w:r>
              <w:rPr>
                <w:rFonts w:hint="default" w:ascii="Times New Roman" w:hAnsi="Times New Roman" w:eastAsia="宋体" w:cs="Times New Roman"/>
                <w:color w:val="000000" w:themeColor="text1"/>
                <w:sz w:val="24"/>
                <w:szCs w:val="24"/>
                <w:highlight w:val="none"/>
                <w14:textFill>
                  <w14:solidFill>
                    <w14:schemeClr w14:val="tx1"/>
                  </w14:solidFill>
                </w14:textFill>
              </w:rPr>
              <w:t>范围内存在居民点，车辆运输过程中会产生一定的噪声影响，由于运输道路处于空旷环境中，运输过程中尽量减少汽车的鸣笛、</w:t>
            </w:r>
            <w:r>
              <w:rPr>
                <w:rFonts w:ascii="宋体" w:hAnsi="宋体" w:eastAsia="宋体" w:cs="宋体"/>
                <w:sz w:val="24"/>
                <w:szCs w:val="24"/>
              </w:rPr>
              <w:t>采取</w:t>
            </w:r>
            <w:r>
              <w:rPr>
                <w:rFonts w:hint="default" w:ascii="Times New Roman" w:hAnsi="Times New Roman" w:eastAsia="宋体" w:cs="Times New Roman"/>
                <w:color w:val="000000" w:themeColor="text1"/>
                <w:sz w:val="24"/>
                <w:szCs w:val="24"/>
                <w:highlight w:val="none"/>
                <w14:textFill>
                  <w14:solidFill>
                    <w14:schemeClr w14:val="tx1"/>
                  </w14:solidFill>
                </w14:textFill>
              </w:rPr>
              <w:t>必要的管理措施，如限速在</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30km/h</w:t>
            </w:r>
            <w:r>
              <w:rPr>
                <w:rFonts w:hint="default" w:ascii="Times New Roman" w:hAnsi="Times New Roman" w:eastAsia="宋体" w:cs="Times New Roman"/>
                <w:color w:val="000000" w:themeColor="text1"/>
                <w:sz w:val="24"/>
                <w:szCs w:val="24"/>
                <w:highlight w:val="none"/>
                <w14:textFill>
                  <w14:solidFill>
                    <w14:schemeClr w14:val="tx1"/>
                  </w14:solidFill>
                </w14:textFill>
              </w:rPr>
              <w:t>以内</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避免车辆在行驶中产生意外噪声。</w:t>
            </w:r>
          </w:p>
          <w:p w14:paraId="320FE3AC">
            <w:pPr>
              <w:keepNext w:val="0"/>
              <w:keepLines w:val="0"/>
              <w:pageBreakBefore w:val="0"/>
              <w:widowControl w:val="0"/>
              <w:kinsoku/>
              <w:wordWrap w:val="0"/>
              <w:overflowPunct/>
              <w:topLinePunct w:val="0"/>
              <w:autoSpaceDE/>
              <w:autoSpaceDN/>
              <w:bidi w:val="0"/>
              <w:adjustRightInd/>
              <w:snapToGrid/>
              <w:spacing w:beforeLines="0" w:afterLines="0" w:line="360" w:lineRule="auto"/>
              <w:ind w:firstLine="480" w:firstLineChars="200"/>
              <w:jc w:val="left"/>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其他管理要求</w:t>
            </w:r>
          </w:p>
          <w:p w14:paraId="018726A4">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本项目产噪设备较多，在正常情况下，经估算对外环境影响较小，但如出现设备故障运行导致噪声加大，设备噪声与车辆运行噪声叠加等情况，可能导致厂界外声环</w:t>
            </w:r>
            <w:r>
              <w:rPr>
                <w:rFonts w:hint="default" w:ascii="Times New Roman" w:hAnsi="Times New Roman" w:eastAsia="宋体" w:cs="Times New Roman"/>
                <w:color w:val="000000" w:themeColor="text1"/>
                <w:sz w:val="24"/>
                <w:szCs w:val="24"/>
                <w:highlight w:val="none"/>
                <w14:textFill>
                  <w14:solidFill>
                    <w14:schemeClr w14:val="tx1"/>
                  </w14:solidFill>
                </w14:textFill>
              </w:rPr>
              <w:t>境达不到《声环境质量标准》（GB3096-2008）2类标准。为此，本评价对可能出现有噪声超标风险提出如下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要求</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360EFC2C">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防治</w:t>
            </w:r>
            <w:r>
              <w:rPr>
                <w:rFonts w:hint="default" w:ascii="Times New Roman" w:hAnsi="Times New Roman" w:eastAsia="宋体" w:cs="Times New Roman"/>
                <w:color w:val="000000" w:themeColor="text1"/>
                <w:sz w:val="24"/>
                <w:szCs w:val="24"/>
                <w:highlight w:val="none"/>
                <w14:textFill>
                  <w14:solidFill>
                    <w14:schemeClr w14:val="tx1"/>
                  </w14:solidFill>
                </w14:textFill>
              </w:rPr>
              <w:t>噪声的基本要求：</w:t>
            </w:r>
          </w:p>
          <w:p w14:paraId="40B05044">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a </w:t>
            </w:r>
            <w:r>
              <w:rPr>
                <w:rFonts w:hint="default" w:ascii="Times New Roman" w:hAnsi="Times New Roman" w:eastAsia="宋体" w:cs="Times New Roman"/>
                <w:color w:val="000000" w:themeColor="text1"/>
                <w:sz w:val="24"/>
                <w:szCs w:val="24"/>
                <w:highlight w:val="none"/>
                <w14:textFill>
                  <w14:solidFill>
                    <w14:schemeClr w14:val="tx1"/>
                  </w14:solidFill>
                </w14:textFill>
              </w:rPr>
              <w:t>外环境噪声达到《声环境质量标准》（GB3096-2008）2类标准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50A3111C">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b </w:t>
            </w:r>
            <w:r>
              <w:rPr>
                <w:rFonts w:hint="default" w:ascii="Times New Roman" w:hAnsi="Times New Roman" w:eastAsia="宋体" w:cs="Times New Roman"/>
                <w:color w:val="000000" w:themeColor="text1"/>
                <w:sz w:val="24"/>
                <w:szCs w:val="24"/>
                <w:highlight w:val="none"/>
                <w14:textFill>
                  <w14:solidFill>
                    <w14:schemeClr w14:val="tx1"/>
                  </w14:solidFill>
                </w14:textFill>
              </w:rPr>
              <w:t>作业场所噪声达到《工业企业厂界环境噪声排放标准》（</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GB12348-2008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类标准。</w:t>
            </w:r>
          </w:p>
          <w:p w14:paraId="2C3F2479">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B</w:t>
            </w:r>
            <w:r>
              <w:rPr>
                <w:rFonts w:hint="default" w:ascii="Times New Roman" w:hAnsi="Times New Roman" w:eastAsia="宋体" w:cs="Times New Roman"/>
                <w:color w:val="000000" w:themeColor="text1"/>
                <w:sz w:val="24"/>
                <w:szCs w:val="24"/>
                <w:highlight w:val="none"/>
                <w14:textFill>
                  <w14:solidFill>
                    <w14:schemeClr w14:val="tx1"/>
                  </w14:solidFill>
                </w14:textFill>
              </w:rPr>
              <w:t>、噪声防治措施：</w:t>
            </w:r>
          </w:p>
          <w:p w14:paraId="56978129">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a </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运营期间对生产设备定期检修，使其</w:t>
            </w:r>
            <w:r>
              <w:rPr>
                <w:rFonts w:hint="default" w:ascii="Times New Roman" w:hAnsi="Times New Roman" w:eastAsia="宋体" w:cs="Times New Roman"/>
                <w:color w:val="000000" w:themeColor="text1"/>
                <w:sz w:val="24"/>
                <w:szCs w:val="24"/>
                <w:highlight w:val="none"/>
                <w14:textFill>
                  <w14:solidFill>
                    <w14:schemeClr w14:val="tx1"/>
                  </w14:solidFill>
                </w14:textFill>
              </w:rPr>
              <w:t>保持设备良好运行状态，禁止故障运行。</w:t>
            </w:r>
          </w:p>
          <w:p w14:paraId="4B27BE65">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b </w:t>
            </w:r>
            <w:r>
              <w:rPr>
                <w:rFonts w:hint="default" w:ascii="Times New Roman" w:hAnsi="Times New Roman" w:eastAsia="宋体" w:cs="Times New Roman"/>
                <w:color w:val="000000" w:themeColor="text1"/>
                <w:sz w:val="24"/>
                <w:szCs w:val="24"/>
                <w:highlight w:val="none"/>
                <w14:textFill>
                  <w14:solidFill>
                    <w14:schemeClr w14:val="tx1"/>
                  </w14:solidFill>
                </w14:textFill>
              </w:rPr>
              <w:t>物流控制：项目物流量较大，在生产过程中，应安排在昼时进行物流作业，减少噪声叠加影响。在临近敏感目标区域，应减速慢行。</w:t>
            </w:r>
          </w:p>
          <w:p w14:paraId="013E59DA">
            <w:pPr>
              <w:autoSpaceDE w:val="0"/>
              <w:autoSpaceDN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c </w:t>
            </w:r>
            <w:r>
              <w:rPr>
                <w:rFonts w:hint="default" w:ascii="Times New Roman" w:hAnsi="Times New Roman" w:eastAsia="宋体" w:cs="Times New Roman"/>
                <w:color w:val="000000" w:themeColor="text1"/>
                <w:sz w:val="24"/>
                <w:szCs w:val="24"/>
                <w:highlight w:val="none"/>
                <w14:textFill>
                  <w14:solidFill>
                    <w14:schemeClr w14:val="tx1"/>
                  </w14:solidFill>
                </w14:textFill>
              </w:rPr>
              <w:t>对高噪声作业场所工作人员，应定期轮换岗位，配备防噪耳塞，减少连续作业时间，以减轻对人员健康的危害。</w:t>
            </w:r>
          </w:p>
          <w:p w14:paraId="360DF398">
            <w:pPr>
              <w:pStyle w:val="10"/>
              <w:keepNext w:val="0"/>
              <w:keepLines w:val="0"/>
              <w:pageBreakBefore w:val="0"/>
              <w:widowControl w:val="0"/>
              <w:kinsoku/>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d </w:t>
            </w:r>
            <w:r>
              <w:rPr>
                <w:rFonts w:hint="default" w:ascii="Times New Roman" w:hAnsi="Times New Roman" w:eastAsia="宋体" w:cs="Times New Roman"/>
                <w:color w:val="000000" w:themeColor="text1"/>
                <w:sz w:val="24"/>
                <w:szCs w:val="24"/>
                <w:highlight w:val="none"/>
                <w14:textFill>
                  <w14:solidFill>
                    <w14:schemeClr w14:val="tx1"/>
                  </w14:solidFill>
                </w14:textFill>
              </w:rPr>
              <w:t>如出现环境噪声超标时，应尽快查清超标噪声来源，停机处理。如在生产过程中出现连续性多时段噪声超标，应查清是否存在设备布置、安装问题，针对问题调整设备安装位置，增加降噪措施。</w:t>
            </w:r>
          </w:p>
          <w:p w14:paraId="73560E5C">
            <w:pPr>
              <w:pStyle w:val="10"/>
              <w:keepNext w:val="0"/>
              <w:keepLines w:val="0"/>
              <w:pageBreakBefore w:val="0"/>
              <w:widowControl w:val="0"/>
              <w:kinsoku/>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4、监测计划</w:t>
            </w:r>
          </w:p>
          <w:p w14:paraId="4BB54974">
            <w:pPr>
              <w:pStyle w:val="10"/>
              <w:keepNext w:val="0"/>
              <w:keepLines w:val="0"/>
              <w:pageBreakBefore w:val="0"/>
              <w:widowControl w:val="0"/>
              <w:kinsoku/>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根据项目噪声产排情况，建设单位应当委托当地监测站或有资质单位进行如下噪声监测。</w:t>
            </w:r>
          </w:p>
          <w:p w14:paraId="66CE4AFC">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13</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噪声监测计划</w:t>
            </w:r>
          </w:p>
          <w:tbl>
            <w:tblPr>
              <w:tblStyle w:val="20"/>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40"/>
              <w:gridCol w:w="1294"/>
              <w:gridCol w:w="1132"/>
              <w:gridCol w:w="1413"/>
              <w:gridCol w:w="3357"/>
            </w:tblGrid>
            <w:tr w14:paraId="13A4CA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466" w:type="pct"/>
                  <w:tcBorders>
                    <w:tl2br w:val="nil"/>
                    <w:tr2bl w:val="nil"/>
                  </w:tcBorders>
                  <w:vAlign w:val="center"/>
                </w:tcPr>
                <w:p w14:paraId="3FCA20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类型</w:t>
                  </w:r>
                </w:p>
              </w:tc>
              <w:tc>
                <w:tcPr>
                  <w:tcW w:w="815" w:type="pct"/>
                  <w:tcBorders>
                    <w:tl2br w:val="nil"/>
                    <w:tr2bl w:val="nil"/>
                  </w:tcBorders>
                  <w:vAlign w:val="center"/>
                </w:tcPr>
                <w:p w14:paraId="69428F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监测点位</w:t>
                  </w:r>
                </w:p>
              </w:tc>
              <w:tc>
                <w:tcPr>
                  <w:tcW w:w="713" w:type="pct"/>
                  <w:tcBorders>
                    <w:tl2br w:val="nil"/>
                    <w:tr2bl w:val="nil"/>
                  </w:tcBorders>
                  <w:vAlign w:val="center"/>
                </w:tcPr>
                <w:p w14:paraId="7807AB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监测因子</w:t>
                  </w:r>
                </w:p>
              </w:tc>
              <w:tc>
                <w:tcPr>
                  <w:tcW w:w="890" w:type="pct"/>
                  <w:tcBorders>
                    <w:tl2br w:val="nil"/>
                    <w:tr2bl w:val="nil"/>
                  </w:tcBorders>
                  <w:vAlign w:val="center"/>
                </w:tcPr>
                <w:p w14:paraId="5CEB648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监测频次</w:t>
                  </w:r>
                </w:p>
              </w:tc>
              <w:tc>
                <w:tcPr>
                  <w:tcW w:w="2115" w:type="pct"/>
                  <w:tcBorders>
                    <w:tl2br w:val="nil"/>
                    <w:tr2bl w:val="nil"/>
                  </w:tcBorders>
                  <w:vAlign w:val="center"/>
                </w:tcPr>
                <w:p w14:paraId="311E9C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执行标准</w:t>
                  </w:r>
                </w:p>
              </w:tc>
            </w:tr>
            <w:tr w14:paraId="16475B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466" w:type="pct"/>
                  <w:tcBorders>
                    <w:tl2br w:val="nil"/>
                    <w:tr2bl w:val="nil"/>
                  </w:tcBorders>
                  <w:vAlign w:val="center"/>
                </w:tcPr>
                <w:p w14:paraId="4998F7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噪声</w:t>
                  </w:r>
                </w:p>
              </w:tc>
              <w:tc>
                <w:tcPr>
                  <w:tcW w:w="815" w:type="pct"/>
                  <w:tcBorders>
                    <w:tl2br w:val="nil"/>
                    <w:tr2bl w:val="nil"/>
                  </w:tcBorders>
                  <w:vAlign w:val="center"/>
                </w:tcPr>
                <w:p w14:paraId="5BC1C2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项目</w:t>
                  </w:r>
                  <w:r>
                    <w:rPr>
                      <w:rFonts w:hint="eastAsia" w:ascii="Times New Roman" w:hAnsi="Times New Roman" w:eastAsia="宋体"/>
                      <w:color w:val="000000" w:themeColor="text1"/>
                      <w:szCs w:val="21"/>
                      <w:highlight w:val="none"/>
                      <w14:textFill>
                        <w14:solidFill>
                          <w14:schemeClr w14:val="tx1"/>
                        </w14:solidFill>
                      </w14:textFill>
                    </w:rPr>
                    <w:t>厂界</w:t>
                  </w:r>
                </w:p>
              </w:tc>
              <w:tc>
                <w:tcPr>
                  <w:tcW w:w="713" w:type="pct"/>
                  <w:tcBorders>
                    <w:tl2br w:val="nil"/>
                    <w:tr2bl w:val="nil"/>
                  </w:tcBorders>
                  <w:vAlign w:val="center"/>
                </w:tcPr>
                <w:p w14:paraId="0EDCE6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Leq（A）</w:t>
                  </w:r>
                </w:p>
              </w:tc>
              <w:tc>
                <w:tcPr>
                  <w:tcW w:w="890" w:type="pct"/>
                  <w:tcBorders>
                    <w:tl2br w:val="nil"/>
                    <w:tr2bl w:val="nil"/>
                  </w:tcBorders>
                  <w:vAlign w:val="center"/>
                </w:tcPr>
                <w:p w14:paraId="52468C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1次/季</w:t>
                  </w:r>
                </w:p>
                <w:p w14:paraId="3B5ED0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（服务期内）</w:t>
                  </w:r>
                </w:p>
              </w:tc>
              <w:tc>
                <w:tcPr>
                  <w:tcW w:w="2115" w:type="pct"/>
                  <w:tcBorders>
                    <w:tl2br w:val="nil"/>
                    <w:tr2bl w:val="nil"/>
                  </w:tcBorders>
                  <w:vAlign w:val="center"/>
                </w:tcPr>
                <w:p w14:paraId="0470AD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《工业企业厂界环境噪声排放标准》（GB12348-2008）中</w:t>
                  </w:r>
                  <w:r>
                    <w:rPr>
                      <w:rFonts w:hint="eastAsia" w:ascii="Times New Roman" w:hAnsi="Times New Roman" w:eastAsia="宋体"/>
                      <w:color w:val="000000" w:themeColor="text1"/>
                      <w:szCs w:val="21"/>
                      <w:highlight w:val="none"/>
                      <w:lang w:val="en-US" w:eastAsia="zh-CN"/>
                      <w14:textFill>
                        <w14:solidFill>
                          <w14:schemeClr w14:val="tx1"/>
                        </w14:solidFill>
                      </w14:textFill>
                    </w:rPr>
                    <w:t>3</w:t>
                  </w:r>
                  <w:r>
                    <w:rPr>
                      <w:rFonts w:ascii="Times New Roman" w:hAnsi="Times New Roman" w:eastAsia="宋体"/>
                      <w:color w:val="000000" w:themeColor="text1"/>
                      <w:szCs w:val="21"/>
                      <w:highlight w:val="none"/>
                      <w14:textFill>
                        <w14:solidFill>
                          <w14:schemeClr w14:val="tx1"/>
                        </w14:solidFill>
                      </w14:textFill>
                    </w:rPr>
                    <w:t>类标准</w:t>
                  </w:r>
                </w:p>
              </w:tc>
            </w:tr>
          </w:tbl>
          <w:p w14:paraId="73C07E6D">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四、固体废物</w:t>
            </w:r>
          </w:p>
          <w:p w14:paraId="76A145A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项目运营期产生的固体废物主要是废气处理设施收尘系统收集的粉尘，废水处理设施沉淀池产生的</w:t>
            </w:r>
            <w:r>
              <w:rPr>
                <w:rFonts w:hint="eastAsia"/>
                <w:color w:val="000000" w:themeColor="text1"/>
                <w:sz w:val="24"/>
                <w:szCs w:val="24"/>
                <w:highlight w:val="none"/>
                <w:lang w:eastAsia="zh-CN"/>
                <w14:textFill>
                  <w14:solidFill>
                    <w14:schemeClr w14:val="tx1"/>
                  </w14:solidFill>
                </w14:textFill>
              </w:rPr>
              <w:t>污泥（泥饼）</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实验室硬化混凝土块，钢筋切割边角废料，生活垃圾，车辆冲洗池隔油设施废油，</w:t>
            </w:r>
            <w:r>
              <w:rPr>
                <w:rFonts w:hint="eastAsia"/>
                <w:color w:val="000000" w:themeColor="text1"/>
                <w:sz w:val="24"/>
                <w:szCs w:val="24"/>
                <w:highlight w:val="none"/>
                <w14:textFill>
                  <w14:solidFill>
                    <w14:schemeClr w14:val="tx1"/>
                  </w14:solidFill>
                </w14:textFill>
              </w:rPr>
              <w:t>设备检维修时产生的废机油和含油</w:t>
            </w:r>
            <w:r>
              <w:rPr>
                <w:rFonts w:hint="eastAsia"/>
                <w:color w:val="000000" w:themeColor="text1"/>
                <w:sz w:val="24"/>
                <w:szCs w:val="24"/>
                <w:highlight w:val="none"/>
                <w:lang w:eastAsia="zh-CN"/>
                <w14:textFill>
                  <w14:solidFill>
                    <w14:schemeClr w14:val="tx1"/>
                  </w14:solidFill>
                </w14:textFill>
              </w:rPr>
              <w:t>废棉纱、</w:t>
            </w:r>
            <w:r>
              <w:rPr>
                <w:rFonts w:hint="eastAsia"/>
                <w:color w:val="000000" w:themeColor="text1"/>
                <w:sz w:val="24"/>
                <w:szCs w:val="24"/>
                <w:highlight w:val="none"/>
                <w14:textFill>
                  <w14:solidFill>
                    <w14:schemeClr w14:val="tx1"/>
                  </w14:solidFill>
                </w14:textFill>
              </w:rPr>
              <w:t>手套等。</w:t>
            </w:r>
          </w:p>
          <w:p w14:paraId="39B4C21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1、产生情况及治理措施</w:t>
            </w:r>
          </w:p>
          <w:p w14:paraId="2F338D5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（1）收尘系统收集的粉尘</w:t>
            </w:r>
          </w:p>
          <w:p w14:paraId="31399E1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根据前面“运营期环境影响和保护措施”中分析，除尘器粉尘收集量为</w:t>
            </w:r>
            <w:r>
              <w:rPr>
                <w:rFonts w:hint="eastAsia"/>
                <w:color w:val="000000" w:themeColor="text1"/>
                <w:sz w:val="24"/>
                <w:szCs w:val="24"/>
                <w:highlight w:val="none"/>
                <w:lang w:val="en-US" w:eastAsia="zh-CN"/>
                <w14:textFill>
                  <w14:solidFill>
                    <w14:schemeClr w14:val="tx1"/>
                  </w14:solidFill>
                </w14:textFill>
              </w:rPr>
              <w:t>15.39</w:t>
            </w:r>
            <w:r>
              <w:rPr>
                <w:rFonts w:hint="eastAsia"/>
                <w:color w:val="000000" w:themeColor="text1"/>
                <w:sz w:val="24"/>
                <w:szCs w:val="24"/>
                <w:highlight w:val="none"/>
                <w14:textFill>
                  <w14:solidFill>
                    <w14:schemeClr w14:val="tx1"/>
                  </w14:solidFill>
                </w14:textFill>
              </w:rPr>
              <w:t>t/a</w:t>
            </w:r>
            <w:r>
              <w:rPr>
                <w:rFonts w:hint="eastAsia"/>
                <w:color w:val="000000" w:themeColor="text1"/>
                <w:sz w:val="24"/>
                <w:szCs w:val="24"/>
                <w:highlight w:val="none"/>
                <w:lang w:eastAsia="zh-CN"/>
                <w14:textFill>
                  <w14:solidFill>
                    <w14:schemeClr w14:val="tx1"/>
                  </w14:solidFill>
                </w14:textFill>
              </w:rPr>
              <w:t>，收集后返回生产系统。</w:t>
            </w:r>
          </w:p>
          <w:p w14:paraId="3B1AC71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（2）沉淀池污泥</w:t>
            </w:r>
          </w:p>
          <w:p w14:paraId="28BF7C3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搅拌机</w:t>
            </w:r>
            <w:r>
              <w:rPr>
                <w:rFonts w:hint="eastAsia"/>
                <w:color w:val="000000" w:themeColor="text1"/>
                <w:sz w:val="24"/>
                <w:szCs w:val="24"/>
                <w:highlight w:val="none"/>
                <w:lang w:val="en-US" w:eastAsia="zh-CN"/>
                <w14:textFill>
                  <w14:solidFill>
                    <w14:schemeClr w14:val="tx1"/>
                  </w14:solidFill>
                </w14:textFill>
              </w:rPr>
              <w:t>/罐车/场地冲洗等生产废水中，SS产生浓度约为1500~2000</w:t>
            </w:r>
            <w:r>
              <w:rPr>
                <w:rFonts w:hint="eastAsia"/>
                <w:color w:val="000000" w:themeColor="text1"/>
                <w:sz w:val="24"/>
                <w:szCs w:val="24"/>
                <w:highlight w:val="none"/>
                <w14:textFill>
                  <w14:solidFill>
                    <w14:schemeClr w14:val="tx1"/>
                  </w14:solidFill>
                </w14:textFill>
              </w:rPr>
              <w:t>mg/L</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沉淀池沉淀后SS含量可降至</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14:textFill>
                  <w14:solidFill>
                    <w14:schemeClr w14:val="tx1"/>
                  </w14:solidFill>
                </w14:textFill>
              </w:rPr>
              <w:t>00mg/L以下，废水量为</w:t>
            </w:r>
            <w:r>
              <w:rPr>
                <w:rFonts w:hint="eastAsia"/>
                <w:color w:val="000000" w:themeColor="text1"/>
                <w:sz w:val="24"/>
                <w:szCs w:val="24"/>
                <w:highlight w:val="none"/>
                <w:lang w:val="en-US" w:eastAsia="zh-CN"/>
                <w14:textFill>
                  <w14:solidFill>
                    <w14:schemeClr w14:val="tx1"/>
                  </w14:solidFill>
                </w14:textFill>
              </w:rPr>
              <w:t>4025</w:t>
            </w:r>
            <w:r>
              <w:rPr>
                <w:rFonts w:hint="eastAsia"/>
                <w:color w:val="000000" w:themeColor="text1"/>
                <w:sz w:val="24"/>
                <w:szCs w:val="24"/>
                <w:highlight w:val="none"/>
                <w14:textFill>
                  <w14:solidFill>
                    <w14:schemeClr w14:val="tx1"/>
                  </w14:solidFill>
                </w14:textFill>
              </w:rPr>
              <w:t>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/a，沉淀池污泥产生量为</w:t>
            </w:r>
            <w:r>
              <w:rPr>
                <w:rFonts w:hint="eastAsia"/>
                <w:color w:val="000000" w:themeColor="text1"/>
                <w:sz w:val="24"/>
                <w:szCs w:val="24"/>
                <w:highlight w:val="none"/>
                <w:lang w:val="en-US" w:eastAsia="zh-CN"/>
                <w14:textFill>
                  <w14:solidFill>
                    <w14:schemeClr w14:val="tx1"/>
                  </w14:solidFill>
                </w14:textFill>
              </w:rPr>
              <w:t>7.25</w:t>
            </w:r>
            <w:r>
              <w:rPr>
                <w:rFonts w:hint="eastAsia"/>
                <w:color w:val="000000" w:themeColor="text1"/>
                <w:sz w:val="24"/>
                <w:szCs w:val="24"/>
                <w:highlight w:val="none"/>
                <w14:textFill>
                  <w14:solidFill>
                    <w14:schemeClr w14:val="tx1"/>
                  </w14:solidFill>
                </w14:textFill>
              </w:rPr>
              <w:t>t/a，定期进行清掏，</w:t>
            </w:r>
            <w:r>
              <w:rPr>
                <w:rFonts w:hint="eastAsia"/>
                <w:color w:val="000000" w:themeColor="text1"/>
                <w:sz w:val="24"/>
                <w:szCs w:val="24"/>
                <w:highlight w:val="none"/>
                <w:lang w:eastAsia="zh-CN"/>
                <w14:textFill>
                  <w14:solidFill>
                    <w14:schemeClr w14:val="tx1"/>
                  </w14:solidFill>
                </w14:textFill>
              </w:rPr>
              <w:t>采用</w:t>
            </w:r>
            <w:r>
              <w:rPr>
                <w:rFonts w:hint="eastAsia"/>
                <w:color w:val="000000" w:themeColor="text1"/>
                <w:sz w:val="24"/>
                <w:szCs w:val="24"/>
                <w:highlight w:val="none"/>
                <w14:textFill>
                  <w14:solidFill>
                    <w14:schemeClr w14:val="tx1"/>
                  </w14:solidFill>
                </w14:textFill>
              </w:rPr>
              <w:t>压滤机进行压滤处理</w:t>
            </w:r>
            <w:r>
              <w:rPr>
                <w:rFonts w:hint="eastAsia"/>
                <w:color w:val="000000" w:themeColor="text1"/>
                <w:sz w:val="24"/>
                <w:szCs w:val="24"/>
                <w:highlight w:val="none"/>
                <w:lang w:eastAsia="zh-CN"/>
                <w14:textFill>
                  <w14:solidFill>
                    <w14:schemeClr w14:val="tx1"/>
                  </w14:solidFill>
                </w14:textFill>
              </w:rPr>
              <w:t>，泥饼</w:t>
            </w:r>
            <w:r>
              <w:rPr>
                <w:rFonts w:hint="eastAsia" w:ascii="Times New Roman" w:hAnsi="Times New Roman" w:eastAsia="宋体"/>
                <w:color w:val="000000" w:themeColor="text1"/>
                <w:sz w:val="24"/>
                <w:szCs w:val="24"/>
                <w:highlight w:val="none"/>
                <w:lang w:eastAsia="zh-CN"/>
                <w14:textFill>
                  <w14:solidFill>
                    <w14:schemeClr w14:val="tx1"/>
                  </w14:solidFill>
                </w14:textFill>
              </w:rPr>
              <w:t>收集后清运至G42线南充至成都段高速公路扩容工程弃渣场（经纬度：105.5903，30.6304）。</w:t>
            </w:r>
          </w:p>
          <w:p w14:paraId="58686BD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w:t>
            </w:r>
            <w:r>
              <w:rPr>
                <w:rFonts w:hint="eastAsia"/>
                <w:color w:val="000000" w:themeColor="text1"/>
                <w:sz w:val="24"/>
                <w:szCs w:val="24"/>
                <w:highlight w:val="none"/>
                <w:lang w:eastAsia="zh-CN"/>
                <w14:textFill>
                  <w14:solidFill>
                    <w14:schemeClr w14:val="tx1"/>
                  </w14:solidFill>
                </w14:textFill>
              </w:rPr>
              <w:t>实验室硬化混凝土块</w:t>
            </w:r>
          </w:p>
          <w:p w14:paraId="2B6F52A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根据建设单位提供资料，站区内设置混凝土检验室，对硬化后混凝土块进行检验，产生废弃混凝土块量为</w:t>
            </w:r>
            <w:r>
              <w:rPr>
                <w:rFonts w:hint="eastAsia"/>
                <w:color w:val="000000" w:themeColor="text1"/>
                <w:sz w:val="24"/>
                <w:szCs w:val="24"/>
                <w:highlight w:val="none"/>
                <w:lang w:val="en-US" w:eastAsia="zh-CN"/>
                <w14:textFill>
                  <w14:solidFill>
                    <w14:schemeClr w14:val="tx1"/>
                  </w14:solidFill>
                </w14:textFill>
              </w:rPr>
              <w:t>1.4t/a，</w:t>
            </w:r>
            <w:r>
              <w:rPr>
                <w:rFonts w:hint="eastAsia" w:ascii="Times New Roman" w:hAnsi="Times New Roman" w:eastAsia="宋体"/>
                <w:color w:val="000000" w:themeColor="text1"/>
                <w:sz w:val="24"/>
                <w:szCs w:val="24"/>
                <w:highlight w:val="none"/>
                <w:lang w:eastAsia="zh-CN"/>
                <w14:textFill>
                  <w14:solidFill>
                    <w14:schemeClr w14:val="tx1"/>
                  </w14:solidFill>
                </w14:textFill>
              </w:rPr>
              <w:t>收集后清运至G42线南充至成都段高速公路扩容工程弃渣场（经纬度：105.5903，30.6304）。</w:t>
            </w:r>
          </w:p>
          <w:p w14:paraId="35CB097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）钢筋切割边角废料</w:t>
            </w:r>
          </w:p>
          <w:p w14:paraId="3F3CB9B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根据建设单位提供资料，本项目钢筋加工厂内进行钢筋切割，会产生边角废料，产生量为</w:t>
            </w:r>
            <w:r>
              <w:rPr>
                <w:rFonts w:hint="eastAsia"/>
                <w:color w:val="000000" w:themeColor="text1"/>
                <w:sz w:val="24"/>
                <w:szCs w:val="24"/>
                <w:highlight w:val="none"/>
                <w:lang w:val="en-US" w:eastAsia="zh-CN"/>
                <w14:textFill>
                  <w14:solidFill>
                    <w14:schemeClr w14:val="tx1"/>
                  </w14:solidFill>
                </w14:textFill>
              </w:rPr>
              <w:t>20t/a，</w:t>
            </w:r>
            <w:r>
              <w:rPr>
                <w:rFonts w:hint="eastAsia" w:ascii="Times New Roman" w:hAnsi="Times New Roman" w:eastAsia="宋体"/>
                <w:color w:val="000000" w:themeColor="text1"/>
                <w:sz w:val="24"/>
                <w:szCs w:val="24"/>
                <w:highlight w:val="none"/>
                <w:lang w:eastAsia="zh-CN"/>
                <w14:textFill>
                  <w14:solidFill>
                    <w14:schemeClr w14:val="tx1"/>
                  </w14:solidFill>
                </w14:textFill>
              </w:rPr>
              <w:t>收集后外售至废品收购站进行综合利用</w:t>
            </w:r>
            <w:r>
              <w:rPr>
                <w:rFonts w:hint="eastAsia"/>
                <w:color w:val="000000" w:themeColor="text1"/>
                <w:sz w:val="24"/>
                <w:szCs w:val="24"/>
                <w:highlight w:val="none"/>
                <w14:textFill>
                  <w14:solidFill>
                    <w14:schemeClr w14:val="tx1"/>
                  </w14:solidFill>
                </w14:textFill>
              </w:rPr>
              <w:t>。</w:t>
            </w:r>
          </w:p>
          <w:p w14:paraId="61674A4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）生活垃圾</w:t>
            </w:r>
          </w:p>
          <w:p w14:paraId="0B69F91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生活垃圾按人均产生量为0.5kg/d计，项目劳动定员</w:t>
            </w:r>
            <w:r>
              <w:rPr>
                <w:rFonts w:hint="eastAsia"/>
                <w:color w:val="000000" w:themeColor="text1"/>
                <w:sz w:val="24"/>
                <w:szCs w:val="24"/>
                <w:highlight w:val="none"/>
                <w:lang w:val="en-US" w:eastAsia="zh-CN"/>
                <w14:textFill>
                  <w14:solidFill>
                    <w14:schemeClr w14:val="tx1"/>
                  </w14:solidFill>
                </w14:textFill>
              </w:rPr>
              <w:t>75</w:t>
            </w:r>
            <w:r>
              <w:rPr>
                <w:rFonts w:hint="eastAsia"/>
                <w:color w:val="000000" w:themeColor="text1"/>
                <w:sz w:val="24"/>
                <w:szCs w:val="24"/>
                <w:highlight w:val="none"/>
                <w14:textFill>
                  <w14:solidFill>
                    <w14:schemeClr w14:val="tx1"/>
                  </w14:solidFill>
                </w14:textFill>
              </w:rPr>
              <w:t>人，则生活垃圾产生量为</w:t>
            </w:r>
            <w:r>
              <w:rPr>
                <w:rFonts w:hint="eastAsia"/>
                <w:color w:val="000000" w:themeColor="text1"/>
                <w:sz w:val="24"/>
                <w:szCs w:val="24"/>
                <w:highlight w:val="none"/>
                <w:lang w:val="en-US" w:eastAsia="zh-CN"/>
                <w14:textFill>
                  <w14:solidFill>
                    <w14:schemeClr w14:val="tx1"/>
                  </w14:solidFill>
                </w14:textFill>
              </w:rPr>
              <w:t>37.5</w:t>
            </w:r>
            <w:r>
              <w:rPr>
                <w:rFonts w:hint="eastAsia"/>
                <w:color w:val="000000" w:themeColor="text1"/>
                <w:sz w:val="24"/>
                <w:szCs w:val="24"/>
                <w:highlight w:val="none"/>
                <w14:textFill>
                  <w14:solidFill>
                    <w14:schemeClr w14:val="tx1"/>
                  </w14:solidFill>
                </w14:textFill>
              </w:rPr>
              <w:t>kg/d，</w:t>
            </w:r>
            <w:r>
              <w:rPr>
                <w:rFonts w:hint="eastAsia"/>
                <w:color w:val="000000" w:themeColor="text1"/>
                <w:sz w:val="24"/>
                <w:szCs w:val="24"/>
                <w:highlight w:val="none"/>
                <w:lang w:val="en-US" w:eastAsia="zh-CN"/>
                <w14:textFill>
                  <w14:solidFill>
                    <w14:schemeClr w14:val="tx1"/>
                  </w14:solidFill>
                </w14:textFill>
              </w:rPr>
              <w:t>13.125</w:t>
            </w:r>
            <w:r>
              <w:rPr>
                <w:rFonts w:hint="eastAsia"/>
                <w:color w:val="000000" w:themeColor="text1"/>
                <w:sz w:val="24"/>
                <w:szCs w:val="24"/>
                <w:highlight w:val="none"/>
                <w14:textFill>
                  <w14:solidFill>
                    <w14:schemeClr w14:val="tx1"/>
                  </w14:solidFill>
                </w14:textFill>
              </w:rPr>
              <w:t>t/a。厂区设置若干垃圾桶收集后运至当地垃圾收集点，统一由</w:t>
            </w:r>
            <w:r>
              <w:rPr>
                <w:rFonts w:hint="eastAsia"/>
                <w:color w:val="000000" w:themeColor="text1"/>
                <w:sz w:val="24"/>
                <w:szCs w:val="24"/>
                <w:highlight w:val="none"/>
                <w:lang w:eastAsia="zh-CN"/>
                <w14:textFill>
                  <w14:solidFill>
                    <w14:schemeClr w14:val="tx1"/>
                  </w14:solidFill>
                </w14:textFill>
              </w:rPr>
              <w:t>环卫部门</w:t>
            </w:r>
            <w:r>
              <w:rPr>
                <w:rFonts w:hint="eastAsia"/>
                <w:color w:val="000000" w:themeColor="text1"/>
                <w:sz w:val="24"/>
                <w:szCs w:val="24"/>
                <w:highlight w:val="none"/>
                <w14:textFill>
                  <w14:solidFill>
                    <w14:schemeClr w14:val="tx1"/>
                  </w14:solidFill>
                </w14:textFill>
              </w:rPr>
              <w:t>进行清运。</w:t>
            </w:r>
          </w:p>
          <w:p w14:paraId="1F9D30E9">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（6）餐厨垃圾</w:t>
            </w:r>
          </w:p>
          <w:p w14:paraId="756A4444">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项目劳动定员</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75</w:t>
            </w:r>
            <w:r>
              <w:rPr>
                <w:rFonts w:hint="default" w:ascii="Times New Roman" w:hAnsi="Times New Roman" w:eastAsia="宋体" w:cs="Times New Roman"/>
                <w:color w:val="000000" w:themeColor="text1"/>
                <w:sz w:val="24"/>
                <w:szCs w:val="24"/>
                <w:highlight w:val="none"/>
                <w14:textFill>
                  <w14:solidFill>
                    <w14:schemeClr w14:val="tx1"/>
                  </w14:solidFill>
                </w14:textFill>
              </w:rPr>
              <w:t>人，</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食堂提供三餐，按每人每天产生餐厨垃圾0.2kg计，则餐厨垃圾产生量为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kg/d，</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5.25</w:t>
            </w:r>
            <w:r>
              <w:rPr>
                <w:rFonts w:hint="default" w:ascii="Times New Roman" w:hAnsi="Times New Roman" w:eastAsia="宋体" w:cs="Times New Roman"/>
                <w:color w:val="000000" w:themeColor="text1"/>
                <w:sz w:val="24"/>
                <w:szCs w:val="24"/>
                <w:highlight w:val="none"/>
                <w14:textFill>
                  <w14:solidFill>
                    <w14:schemeClr w14:val="tx1"/>
                  </w14:solidFill>
                </w14:textFill>
              </w:rPr>
              <w:t>t/a。</w:t>
            </w:r>
          </w:p>
          <w:p w14:paraId="5FF831E3">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对餐饮废物应分类桶装收集（加盖、标识）。餐厨垃圾由项目每日使用加盖塑料桶进行收集，收集后由专人每日清运，不得在项目内滞留过夜，以免异味及蚊虫、老鼠等滋生。 </w:t>
            </w:r>
          </w:p>
          <w:p w14:paraId="3CF8AC41">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针对餐厨垃圾，本环评建议采取如下措施:</w:t>
            </w:r>
          </w:p>
          <w:p w14:paraId="4BA5D165">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①餐厨垃圾应当按照卫生、环保、城市管理部门的规定收集、存放和处置，也可以委托有经营资质的作业单位代为收集、存放、运输和处置。收集、存放、运输、处置餐厨垃圾，不得污染城市道路和环境。禁止将餐厨垃圾排入雨水、污水管道或沟渠、河道、公共厕所等。</w:t>
            </w:r>
          </w:p>
          <w:p w14:paraId="13F02CDD">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②项目食堂应设置专门的餐厨垃圾收集容器，收集容器保持完好和密闭，并标明餐厨垃圾收集容器字样。</w:t>
            </w:r>
          </w:p>
          <w:p w14:paraId="0A42D6E6">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③项目食堂在餐厨垃圾产生后24小时内将其交给收运单位或个人运输，不得将餐厨垃圾交由未在城管部门建档备查的餐厨收运单位或个人收运、处理。</w:t>
            </w:r>
          </w:p>
          <w:p w14:paraId="3222CC20">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④项目食堂应当与餐厨垃圾收运者签订餐厨垃圾合收运同或协议，相关合同或者协议不得违反《中华人民共和国食品安全法》相关规定，不得将餐厨垃圾回收作为食品原料。</w:t>
            </w:r>
          </w:p>
          <w:p w14:paraId="64C0E877">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⑤“收购方”必须在卫生监管部门备案，运输工具（如三轮车、货车）等要在城管部门登记。</w:t>
            </w:r>
          </w:p>
          <w:p w14:paraId="0553842F">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本项目应严格按照上述要求对餐厨垃圾进行处理，评价要求业主方必须与有资质单位签订潲水移交协议，并严格执行以上要求及《饮食业环境保护技术规范》中的相关要求。</w:t>
            </w:r>
          </w:p>
          <w:p w14:paraId="1360C4E0">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7</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）油水分离器废油脂</w:t>
            </w:r>
          </w:p>
          <w:p w14:paraId="0D78FDA5">
            <w:pPr>
              <w:widowControl w:val="0"/>
              <w:adjustRightInd w:val="0"/>
              <w:snapToGrid w:val="0"/>
              <w:spacing w:line="360" w:lineRule="auto"/>
              <w:ind w:left="0" w:right="119" w:firstLine="480" w:firstLineChars="200"/>
              <w:jc w:val="both"/>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根据同类项目《成绵苍巴高速公路（东石段）综合场站项目》数据经验类比，本项目餐厨垃圾</w:t>
            </w:r>
            <w:r>
              <w:rPr>
                <w:rFonts w:hint="eastAsia"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5.25</w:t>
            </w:r>
            <w:r>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t/a，产生的废油脂量约为0.1</w:t>
            </w:r>
            <w:r>
              <w:rPr>
                <w:rFonts w:hint="eastAsia"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05</w:t>
            </w:r>
            <w:r>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t/a。</w:t>
            </w:r>
          </w:p>
          <w:p w14:paraId="248C988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治理措施：委托相关具有餐厨垃圾处理资质的单位定期前往厂区进行清掏，清掏完毕随即拉运至资质单位合理处置，建设单位不得随意处置。</w:t>
            </w:r>
          </w:p>
          <w:p w14:paraId="0431ADA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8</w:t>
            </w:r>
            <w:r>
              <w:rPr>
                <w:rFonts w:hint="eastAsia"/>
                <w:color w:val="000000" w:themeColor="text1"/>
                <w:sz w:val="24"/>
                <w:szCs w:val="24"/>
                <w:highlight w:val="none"/>
                <w:lang w:eastAsia="zh-CN"/>
                <w14:textFill>
                  <w14:solidFill>
                    <w14:schemeClr w14:val="tx1"/>
                  </w14:solidFill>
                </w14:textFill>
              </w:rPr>
              <w:t>）隔油沉淀池废油</w:t>
            </w:r>
          </w:p>
          <w:p w14:paraId="55EE64D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default" w:ascii="Times New Roman" w:hAnsi="Times New Roman" w:cs="Times New Roman"/>
                <w:b w:val="0"/>
                <w:bCs/>
                <w:color w:val="000000" w:themeColor="text1"/>
                <w:sz w:val="24"/>
                <w:highlight w:val="none"/>
                <w:lang w:eastAsia="zh-CN"/>
                <w14:textFill>
                  <w14:solidFill>
                    <w14:schemeClr w14:val="tx1"/>
                  </w14:solidFill>
                </w14:textFill>
              </w:rPr>
              <w:t>本项目运营期</w:t>
            </w:r>
            <w:r>
              <w:rPr>
                <w:rFonts w:hint="default" w:ascii="Times New Roman" w:hAnsi="Times New Roman" w:cs="Times New Roman"/>
                <w:color w:val="000000" w:themeColor="text1"/>
                <w:sz w:val="24"/>
                <w:szCs w:val="22"/>
                <w:highlight w:val="none"/>
                <w14:textFill>
                  <w14:solidFill>
                    <w14:schemeClr w14:val="tx1"/>
                  </w14:solidFill>
                </w14:textFill>
              </w:rPr>
              <w:t>运输车辆冲洗</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废水产生量为</w:t>
            </w:r>
            <w:r>
              <w:rPr>
                <w:rFonts w:hint="eastAsia" w:eastAsia="宋体" w:cs="Times New Roman"/>
                <w:color w:val="000000" w:themeColor="text1"/>
                <w:sz w:val="24"/>
                <w:szCs w:val="24"/>
                <w:highlight w:val="none"/>
                <w:lang w:val="en-US" w:eastAsia="zh-CN"/>
                <w14:textFill>
                  <w14:solidFill>
                    <w14:schemeClr w14:val="tx1"/>
                  </w14:solidFill>
                </w14:textFill>
              </w:rPr>
              <w:t>5.4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eastAsia="宋体" w:cs="Times New Roman"/>
                <w:color w:val="000000" w:themeColor="text1"/>
                <w:sz w:val="24"/>
                <w:szCs w:val="24"/>
                <w:highlight w:val="none"/>
                <w:lang w:val="en-US" w:eastAsia="zh-CN"/>
                <w14:textFill>
                  <w14:solidFill>
                    <w14:schemeClr w14:val="tx1"/>
                  </w14:solidFill>
                </w14:textFill>
              </w:rPr>
              <w:t>1890</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m</w:t>
            </w:r>
            <w:r>
              <w:rPr>
                <w:rFonts w:hint="default" w:ascii="Times New Roman" w:hAnsi="Times New Roman" w:cs="Times New Roman"/>
                <w:b w:val="0"/>
                <w:bCs/>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厂区进出口洗车平台旁</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拟</w:t>
            </w:r>
            <w:r>
              <w:rPr>
                <w:rFonts w:hint="default" w:ascii="Times New Roman" w:hAnsi="Times New Roman" w:eastAsia="宋体" w:cs="Times New Roman"/>
                <w:color w:val="000000" w:themeColor="text1"/>
                <w:sz w:val="24"/>
                <w:szCs w:val="24"/>
                <w:highlight w:val="none"/>
                <w14:textFill>
                  <w14:solidFill>
                    <w14:schemeClr w14:val="tx1"/>
                  </w14:solidFill>
                </w14:textFill>
              </w:rPr>
              <w:t>设置一个</w:t>
            </w:r>
            <w:r>
              <w:rPr>
                <w:rFonts w:hint="eastAsia"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的</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隔油</w:t>
            </w:r>
            <w:r>
              <w:rPr>
                <w:rFonts w:hint="default" w:ascii="Times New Roman" w:hAnsi="Times New Roman" w:eastAsia="宋体" w:cs="Times New Roman"/>
                <w:color w:val="000000" w:themeColor="text1"/>
                <w:sz w:val="24"/>
                <w:szCs w:val="24"/>
                <w:highlight w:val="none"/>
                <w14:textFill>
                  <w14:solidFill>
                    <w14:schemeClr w14:val="tx1"/>
                  </w14:solidFill>
                </w14:textFill>
              </w:rPr>
              <w:t>沉淀池对项目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运输车辆清洗</w:t>
            </w:r>
            <w:r>
              <w:rPr>
                <w:rFonts w:hint="default" w:ascii="Times New Roman" w:hAnsi="Times New Roman" w:eastAsia="宋体" w:cs="Times New Roman"/>
                <w:color w:val="000000" w:themeColor="text1"/>
                <w:sz w:val="24"/>
                <w:szCs w:val="24"/>
                <w:highlight w:val="none"/>
                <w14:textFill>
                  <w14:solidFill>
                    <w14:schemeClr w14:val="tx1"/>
                  </w14:solidFill>
                </w14:textFill>
              </w:rPr>
              <w:t>废水进行沉淀处理后回用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。洗车废水中石油类含量约为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100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mg/L，经处理后石油类含量约为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mg/L，</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废油污产生量约为</w:t>
            </w:r>
            <w:r>
              <w:rPr>
                <w:rFonts w:hint="eastAsia" w:cs="Times New Roman"/>
                <w:b w:val="0"/>
                <w:bCs/>
                <w:color w:val="000000" w:themeColor="text1"/>
                <w:sz w:val="24"/>
                <w:szCs w:val="24"/>
                <w:highlight w:val="none"/>
                <w:lang w:val="en-US" w:eastAsia="zh-CN"/>
                <w14:textFill>
                  <w14:solidFill>
                    <w14:schemeClr w14:val="tx1"/>
                  </w14:solidFill>
                </w14:textFill>
              </w:rPr>
              <w:t>0.13</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t/a，属于《国家危险废物名录（2021版）》中“HW08废矿物油与含矿物油废物—非特定行业900-210-08—油/水分离设施产生的废油、油泥及废水处理产生的浮渣和污泥（不包括废水生化处理污泥）”范畴。</w:t>
            </w:r>
          </w:p>
          <w:p w14:paraId="366E1F4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）废矿物油</w:t>
            </w:r>
            <w:r>
              <w:rPr>
                <w:rFonts w:hint="eastAsia"/>
                <w:color w:val="000000" w:themeColor="text1"/>
                <w:sz w:val="24"/>
                <w:szCs w:val="24"/>
                <w:highlight w:val="none"/>
                <w:lang w:eastAsia="zh-CN"/>
                <w14:textFill>
                  <w14:solidFill>
                    <w14:schemeClr w14:val="tx1"/>
                  </w14:solidFill>
                </w14:textFill>
              </w:rPr>
              <w:t>及包装桶</w:t>
            </w:r>
          </w:p>
          <w:p w14:paraId="1E7E3A3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项目机械设备、运输车辆将定期进行维修保养，在此过程中将产生废矿物油</w:t>
            </w:r>
            <w:r>
              <w:rPr>
                <w:rFonts w:hint="eastAsia"/>
                <w:color w:val="000000" w:themeColor="text1"/>
                <w:sz w:val="24"/>
                <w:szCs w:val="24"/>
                <w:highlight w:val="none"/>
                <w:lang w:eastAsia="zh-CN"/>
                <w14:textFill>
                  <w14:solidFill>
                    <w14:schemeClr w14:val="tx1"/>
                  </w14:solidFill>
                </w14:textFill>
              </w:rPr>
              <w:t>及包装桶</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参照《</w:t>
            </w:r>
            <w:r>
              <w:rPr>
                <w:rFonts w:hint="eastAsia" w:ascii="Times New Roman" w:hAnsi="Times New Roman" w:eastAsia="宋体"/>
                <w:color w:val="000000" w:themeColor="text1"/>
                <w:sz w:val="24"/>
                <w:szCs w:val="24"/>
                <w:highlight w:val="none"/>
                <w14:textFill>
                  <w14:solidFill>
                    <w14:schemeClr w14:val="tx1"/>
                  </w14:solidFill>
                </w14:textFill>
              </w:rPr>
              <w:t>南充至成都高速公路扩容工程土建施工LJ6标段一分部场站项目</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类比分析，项目的产生量约为0.5t/a。</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属于《国家危险废物名录（2021年本）》中的</w:t>
            </w:r>
            <w:r>
              <w:rPr>
                <w:rFonts w:hint="default" w:ascii="Times New Roman" w:hAnsi="Times New Roman" w:cs="Times New Roman"/>
                <w:color w:val="000000" w:themeColor="text1"/>
                <w:sz w:val="24"/>
                <w:highlight w:val="none"/>
                <w14:textFill>
                  <w14:solidFill>
                    <w14:schemeClr w14:val="tx1"/>
                  </w14:solidFill>
                </w14:textFill>
              </w:rPr>
              <w:t>“HW08 废矿物油与含矿物油废物—900-249-08—其他生产、销售、使用过程中产生的废矿物油及沾染矿物油的废弃包装物”范畴</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w:t>
            </w:r>
          </w:p>
          <w:p w14:paraId="6F734E2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10</w:t>
            </w:r>
            <w:r>
              <w:rPr>
                <w:rFonts w:hint="eastAsia"/>
                <w:color w:val="000000" w:themeColor="text1"/>
                <w:sz w:val="24"/>
                <w:szCs w:val="24"/>
                <w:highlight w:val="none"/>
                <w:lang w:eastAsia="zh-CN"/>
                <w14:textFill>
                  <w14:solidFill>
                    <w14:schemeClr w14:val="tx1"/>
                  </w14:solidFill>
                </w14:textFill>
              </w:rPr>
              <w:t>）含油废棉纱、手套</w:t>
            </w:r>
          </w:p>
          <w:p w14:paraId="524311F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含油废棉纱、手套产生量约为0.02t/a</w:t>
            </w:r>
            <w:r>
              <w:rPr>
                <w:rFonts w:hint="eastAsia"/>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属于《国家危险废物名录（2021 年本）》中的“HW49 其他废物—非特定行业900-041-49—含有或沾染毒性、感染性危险废物的废弃包装物、容器、过滤吸附介质”范畴。</w:t>
            </w:r>
          </w:p>
          <w:p w14:paraId="17CD8073">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治理措施：项目</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钢筋加工场南侧</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设置危废暂存间一间，面积</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4"/>
                <w:szCs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本项目产生的</w:t>
            </w:r>
            <w:r>
              <w:rPr>
                <w:rFonts w:hint="default" w:ascii="Times New Roman" w:hAnsi="Times New Roman" w:eastAsia="宋体" w:cs="Times New Roman"/>
                <w:bCs/>
                <w:color w:val="000000" w:themeColor="text1"/>
                <w:sz w:val="24"/>
                <w:szCs w:val="24"/>
                <w:highlight w:val="none"/>
                <w14:textFill>
                  <w14:solidFill>
                    <w14:schemeClr w14:val="tx1"/>
                  </w14:solidFill>
                </w14:textFill>
              </w:rPr>
              <w:t>废机油、废机油桶、沾油废物</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隔油沉淀池废油污</w:t>
            </w:r>
            <w:r>
              <w:rPr>
                <w:rFonts w:hint="default" w:ascii="Times New Roman" w:hAnsi="Times New Roman" w:eastAsia="宋体" w:cs="Times New Roman"/>
                <w:color w:val="000000" w:themeColor="text1"/>
                <w:sz w:val="24"/>
                <w:highlight w:val="none"/>
                <w14:textFill>
                  <w14:solidFill>
                    <w14:schemeClr w14:val="tx1"/>
                  </w14:solidFill>
                </w14:textFill>
              </w:rPr>
              <w:t>分别按废弃物类别配备相应的收集容器，容器不能有破损、盖子损坏或其它可能导致废油泄漏的隐患。废弃物收集容器应粘贴危险废弃物标签，明显标示其中的废弃物名称、主要成分与性质，并保持清晰可见，及时交由有危废处置资质单位进行合理处置。</w:t>
            </w:r>
          </w:p>
          <w:p w14:paraId="4C74D298">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本项目固废处置情况一览表见下表。</w:t>
            </w:r>
          </w:p>
          <w:p w14:paraId="67A7CB6D">
            <w:pPr>
              <w:widowControl w:val="0"/>
              <w:adjustRightInd w:val="0"/>
              <w:snapToGrid w:val="0"/>
              <w:spacing w:line="240" w:lineRule="auto"/>
              <w:ind w:left="0" w:right="119" w:firstLine="0"/>
              <w:jc w:val="center"/>
              <w:rPr>
                <w:rFonts w:hint="default"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t>表4-</w:t>
            </w:r>
            <w:r>
              <w:rPr>
                <w:rFonts w:hint="eastAsia"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t>14</w:t>
            </w:r>
            <w:r>
              <w:rPr>
                <w:rFonts w:hint="default"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t xml:space="preserve">     项目一般固废产排情况一览表</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53"/>
              <w:gridCol w:w="1535"/>
              <w:gridCol w:w="1088"/>
              <w:gridCol w:w="581"/>
              <w:gridCol w:w="994"/>
              <w:gridCol w:w="1708"/>
              <w:gridCol w:w="1281"/>
            </w:tblGrid>
            <w:tr w14:paraId="349423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43189EEB">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产生</w:t>
                  </w:r>
                </w:p>
                <w:p w14:paraId="2B0207F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环节</w:t>
                  </w:r>
                </w:p>
              </w:tc>
              <w:tc>
                <w:tcPr>
                  <w:tcW w:w="1535" w:type="dxa"/>
                  <w:tcBorders>
                    <w:tl2br w:val="nil"/>
                    <w:tr2bl w:val="nil"/>
                  </w:tcBorders>
                  <w:noWrap w:val="0"/>
                  <w:vAlign w:val="center"/>
                </w:tcPr>
                <w:p w14:paraId="0D1A1E2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名称</w:t>
                  </w:r>
                </w:p>
              </w:tc>
              <w:tc>
                <w:tcPr>
                  <w:tcW w:w="1088" w:type="dxa"/>
                  <w:tcBorders>
                    <w:tl2br w:val="nil"/>
                    <w:tr2bl w:val="nil"/>
                  </w:tcBorders>
                  <w:noWrap w:val="0"/>
                  <w:vAlign w:val="center"/>
                </w:tcPr>
                <w:p w14:paraId="586AE87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属性</w:t>
                  </w:r>
                </w:p>
              </w:tc>
              <w:tc>
                <w:tcPr>
                  <w:tcW w:w="581" w:type="dxa"/>
                  <w:tcBorders>
                    <w:tl2br w:val="nil"/>
                    <w:tr2bl w:val="nil"/>
                  </w:tcBorders>
                  <w:noWrap w:val="0"/>
                  <w:vAlign w:val="center"/>
                </w:tcPr>
                <w:p w14:paraId="3F49C88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物理性状</w:t>
                  </w:r>
                </w:p>
              </w:tc>
              <w:tc>
                <w:tcPr>
                  <w:tcW w:w="994" w:type="dxa"/>
                  <w:tcBorders>
                    <w:tl2br w:val="nil"/>
                    <w:tr2bl w:val="nil"/>
                  </w:tcBorders>
                  <w:noWrap w:val="0"/>
                  <w:vAlign w:val="center"/>
                </w:tcPr>
                <w:p w14:paraId="4508D85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产生量</w:t>
                  </w:r>
                </w:p>
              </w:tc>
              <w:tc>
                <w:tcPr>
                  <w:tcW w:w="1708" w:type="dxa"/>
                  <w:tcBorders>
                    <w:tl2br w:val="nil"/>
                    <w:tr2bl w:val="nil"/>
                  </w:tcBorders>
                  <w:noWrap w:val="0"/>
                  <w:vAlign w:val="center"/>
                </w:tcPr>
                <w:p w14:paraId="6345A16A">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利用处置方和去向</w:t>
                  </w:r>
                </w:p>
              </w:tc>
              <w:tc>
                <w:tcPr>
                  <w:tcW w:w="1281" w:type="dxa"/>
                  <w:tcBorders>
                    <w:tl2br w:val="nil"/>
                    <w:tr2bl w:val="nil"/>
                  </w:tcBorders>
                  <w:noWrap w:val="0"/>
                  <w:vAlign w:val="center"/>
                </w:tcPr>
                <w:p w14:paraId="34AD0D0A">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利用或处置量</w:t>
                  </w:r>
                </w:p>
              </w:tc>
            </w:tr>
            <w:tr w14:paraId="79F13D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6935970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除尘器</w:t>
                  </w:r>
                </w:p>
              </w:tc>
              <w:tc>
                <w:tcPr>
                  <w:tcW w:w="1535" w:type="dxa"/>
                  <w:tcBorders>
                    <w:tl2br w:val="nil"/>
                    <w:tr2bl w:val="nil"/>
                  </w:tcBorders>
                  <w:noWrap w:val="0"/>
                  <w:vAlign w:val="center"/>
                </w:tcPr>
                <w:p w14:paraId="3B41E8DB">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除尘器粉尘</w:t>
                  </w:r>
                </w:p>
              </w:tc>
              <w:tc>
                <w:tcPr>
                  <w:tcW w:w="1088" w:type="dxa"/>
                  <w:tcBorders>
                    <w:tl2br w:val="nil"/>
                    <w:tr2bl w:val="nil"/>
                  </w:tcBorders>
                  <w:noWrap w:val="0"/>
                  <w:vAlign w:val="center"/>
                </w:tcPr>
                <w:p w14:paraId="26D11A15">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2D79926D">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粉末</w:t>
                  </w:r>
                </w:p>
              </w:tc>
              <w:tc>
                <w:tcPr>
                  <w:tcW w:w="994" w:type="dxa"/>
                  <w:tcBorders>
                    <w:tl2br w:val="nil"/>
                    <w:tr2bl w:val="nil"/>
                  </w:tcBorders>
                  <w:noWrap w:val="0"/>
                  <w:vAlign w:val="center"/>
                </w:tcPr>
                <w:p w14:paraId="5FEBFE5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15.39</w:t>
                  </w: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t/a</w:t>
                  </w:r>
                </w:p>
              </w:tc>
              <w:tc>
                <w:tcPr>
                  <w:tcW w:w="1708" w:type="dxa"/>
                  <w:tcBorders>
                    <w:tl2br w:val="nil"/>
                    <w:tr2bl w:val="nil"/>
                  </w:tcBorders>
                  <w:noWrap w:val="0"/>
                  <w:vAlign w:val="center"/>
                </w:tcPr>
                <w:p w14:paraId="33E402E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回用于生产</w:t>
                  </w:r>
                </w:p>
              </w:tc>
              <w:tc>
                <w:tcPr>
                  <w:tcW w:w="1281" w:type="dxa"/>
                  <w:tcBorders>
                    <w:tl2br w:val="nil"/>
                    <w:tr2bl w:val="nil"/>
                  </w:tcBorders>
                  <w:noWrap w:val="0"/>
                  <w:vAlign w:val="center"/>
                </w:tcPr>
                <w:p w14:paraId="4FF3EAB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15.39</w:t>
                  </w: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t/a</w:t>
                  </w:r>
                </w:p>
              </w:tc>
            </w:tr>
            <w:tr w14:paraId="4DDEEE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5245DAFF">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沉淀池</w:t>
                  </w:r>
                </w:p>
              </w:tc>
              <w:tc>
                <w:tcPr>
                  <w:tcW w:w="1535" w:type="dxa"/>
                  <w:tcBorders>
                    <w:tl2br w:val="nil"/>
                    <w:tr2bl w:val="nil"/>
                  </w:tcBorders>
                  <w:noWrap w:val="0"/>
                  <w:vAlign w:val="center"/>
                </w:tcPr>
                <w:p w14:paraId="398FC61B">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底泥</w:t>
                  </w: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（压滤泥饼）</w:t>
                  </w:r>
                </w:p>
              </w:tc>
              <w:tc>
                <w:tcPr>
                  <w:tcW w:w="1088" w:type="dxa"/>
                  <w:tcBorders>
                    <w:tl2br w:val="nil"/>
                    <w:tr2bl w:val="nil"/>
                  </w:tcBorders>
                  <w:noWrap w:val="0"/>
                  <w:vAlign w:val="center"/>
                </w:tcPr>
                <w:p w14:paraId="79BFDDC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5BD7C2F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固态</w:t>
                  </w:r>
                </w:p>
              </w:tc>
              <w:tc>
                <w:tcPr>
                  <w:tcW w:w="994" w:type="dxa"/>
                  <w:tcBorders>
                    <w:tl2br w:val="nil"/>
                    <w:tr2bl w:val="nil"/>
                  </w:tcBorders>
                  <w:noWrap w:val="0"/>
                  <w:vAlign w:val="center"/>
                </w:tcPr>
                <w:p w14:paraId="497A363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7.25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vMerge w:val="restart"/>
                  <w:tcBorders>
                    <w:tl2br w:val="nil"/>
                    <w:tr2bl w:val="nil"/>
                  </w:tcBorders>
                  <w:noWrap w:val="0"/>
                  <w:vAlign w:val="center"/>
                </w:tcPr>
                <w:p w14:paraId="69DD103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清运至G42线南充至成都段高速公路扩容工程弃渣场（经纬度：105.5903，30.6304）</w:t>
                  </w:r>
                </w:p>
              </w:tc>
              <w:tc>
                <w:tcPr>
                  <w:tcW w:w="1281" w:type="dxa"/>
                  <w:tcBorders>
                    <w:tl2br w:val="nil"/>
                    <w:tr2bl w:val="nil"/>
                  </w:tcBorders>
                  <w:noWrap w:val="0"/>
                  <w:vAlign w:val="center"/>
                </w:tcPr>
                <w:p w14:paraId="377E3B1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7.25</w:t>
                  </w: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t/a</w:t>
                  </w:r>
                </w:p>
              </w:tc>
            </w:tr>
            <w:tr w14:paraId="4D6157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23E6C10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检验</w:t>
                  </w:r>
                </w:p>
              </w:tc>
              <w:tc>
                <w:tcPr>
                  <w:tcW w:w="1535" w:type="dxa"/>
                  <w:tcBorders>
                    <w:tl2br w:val="nil"/>
                    <w:tr2bl w:val="nil"/>
                  </w:tcBorders>
                  <w:noWrap w:val="0"/>
                  <w:vAlign w:val="center"/>
                </w:tcPr>
                <w:p w14:paraId="1AD9E81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硬化混凝土块</w:t>
                  </w:r>
                </w:p>
              </w:tc>
              <w:tc>
                <w:tcPr>
                  <w:tcW w:w="1088" w:type="dxa"/>
                  <w:tcBorders>
                    <w:tl2br w:val="nil"/>
                    <w:tr2bl w:val="nil"/>
                  </w:tcBorders>
                  <w:noWrap w:val="0"/>
                  <w:vAlign w:val="center"/>
                </w:tcPr>
                <w:p w14:paraId="28AD605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7BBDBA5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固态</w:t>
                  </w:r>
                </w:p>
              </w:tc>
              <w:tc>
                <w:tcPr>
                  <w:tcW w:w="994" w:type="dxa"/>
                  <w:tcBorders>
                    <w:tl2br w:val="nil"/>
                    <w:tr2bl w:val="nil"/>
                  </w:tcBorders>
                  <w:noWrap w:val="0"/>
                  <w:vAlign w:val="center"/>
                </w:tcPr>
                <w:p w14:paraId="6E29E25B">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1.4</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vMerge w:val="continue"/>
                  <w:tcBorders>
                    <w:tl2br w:val="nil"/>
                    <w:tr2bl w:val="nil"/>
                  </w:tcBorders>
                  <w:noWrap w:val="0"/>
                  <w:vAlign w:val="center"/>
                </w:tcPr>
                <w:p w14:paraId="4DDDAF4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p>
              </w:tc>
              <w:tc>
                <w:tcPr>
                  <w:tcW w:w="1281" w:type="dxa"/>
                  <w:tcBorders>
                    <w:tl2br w:val="nil"/>
                    <w:tr2bl w:val="nil"/>
                  </w:tcBorders>
                  <w:noWrap w:val="0"/>
                  <w:vAlign w:val="center"/>
                </w:tcPr>
                <w:p w14:paraId="2722BB23">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1.4</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7F8F2E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3DC90ED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钢筋</w:t>
                  </w:r>
                </w:p>
                <w:p w14:paraId="47D264D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切割</w:t>
                  </w:r>
                </w:p>
              </w:tc>
              <w:tc>
                <w:tcPr>
                  <w:tcW w:w="1535" w:type="dxa"/>
                  <w:tcBorders>
                    <w:tl2br w:val="nil"/>
                    <w:tr2bl w:val="nil"/>
                  </w:tcBorders>
                  <w:noWrap w:val="0"/>
                  <w:vAlign w:val="center"/>
                </w:tcPr>
                <w:p w14:paraId="57DE390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边角废料</w:t>
                  </w:r>
                </w:p>
              </w:tc>
              <w:tc>
                <w:tcPr>
                  <w:tcW w:w="1088" w:type="dxa"/>
                  <w:tcBorders>
                    <w:tl2br w:val="nil"/>
                    <w:tr2bl w:val="nil"/>
                  </w:tcBorders>
                  <w:noWrap w:val="0"/>
                  <w:vAlign w:val="center"/>
                </w:tcPr>
                <w:p w14:paraId="4FFAF71F">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43BAB4A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固体</w:t>
                  </w:r>
                </w:p>
              </w:tc>
              <w:tc>
                <w:tcPr>
                  <w:tcW w:w="994" w:type="dxa"/>
                  <w:tcBorders>
                    <w:tl2br w:val="nil"/>
                    <w:tr2bl w:val="nil"/>
                  </w:tcBorders>
                  <w:noWrap w:val="0"/>
                  <w:vAlign w:val="center"/>
                </w:tcPr>
                <w:p w14:paraId="07BEB2E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20</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2FA0073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外售至废品收购站综合化利用</w:t>
                  </w:r>
                </w:p>
              </w:tc>
              <w:tc>
                <w:tcPr>
                  <w:tcW w:w="1281" w:type="dxa"/>
                  <w:tcBorders>
                    <w:tl2br w:val="nil"/>
                    <w:tr2bl w:val="nil"/>
                  </w:tcBorders>
                  <w:noWrap w:val="0"/>
                  <w:vAlign w:val="center"/>
                </w:tcPr>
                <w:p w14:paraId="40728DE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20</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225DE4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3442355C">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办公</w:t>
                  </w:r>
                </w:p>
                <w:p w14:paraId="183F6DF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生活</w:t>
                  </w:r>
                </w:p>
              </w:tc>
              <w:tc>
                <w:tcPr>
                  <w:tcW w:w="1535" w:type="dxa"/>
                  <w:tcBorders>
                    <w:tl2br w:val="nil"/>
                    <w:tr2bl w:val="nil"/>
                  </w:tcBorders>
                  <w:noWrap w:val="0"/>
                  <w:vAlign w:val="center"/>
                </w:tcPr>
                <w:p w14:paraId="3B4275D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生活垃圾</w:t>
                  </w:r>
                </w:p>
              </w:tc>
              <w:tc>
                <w:tcPr>
                  <w:tcW w:w="1088" w:type="dxa"/>
                  <w:tcBorders>
                    <w:tl2br w:val="nil"/>
                    <w:tr2bl w:val="nil"/>
                  </w:tcBorders>
                  <w:noWrap w:val="0"/>
                  <w:vAlign w:val="center"/>
                </w:tcPr>
                <w:p w14:paraId="33C5304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3672070D">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固体</w:t>
                  </w:r>
                </w:p>
              </w:tc>
              <w:tc>
                <w:tcPr>
                  <w:tcW w:w="994" w:type="dxa"/>
                  <w:tcBorders>
                    <w:tl2br w:val="nil"/>
                    <w:tr2bl w:val="nil"/>
                  </w:tcBorders>
                  <w:noWrap w:val="0"/>
                  <w:vAlign w:val="center"/>
                </w:tcPr>
                <w:p w14:paraId="0613DBCC">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13.125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1193FE5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环卫部门清运</w:t>
                  </w:r>
                </w:p>
              </w:tc>
              <w:tc>
                <w:tcPr>
                  <w:tcW w:w="1281" w:type="dxa"/>
                  <w:tcBorders>
                    <w:tl2br w:val="nil"/>
                    <w:tr2bl w:val="nil"/>
                  </w:tcBorders>
                  <w:noWrap w:val="0"/>
                  <w:vAlign w:val="center"/>
                </w:tcPr>
                <w:p w14:paraId="152CCBD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13.125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49A006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197FED1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食堂</w:t>
                  </w:r>
                </w:p>
              </w:tc>
              <w:tc>
                <w:tcPr>
                  <w:tcW w:w="1535" w:type="dxa"/>
                  <w:tcBorders>
                    <w:tl2br w:val="nil"/>
                    <w:tr2bl w:val="nil"/>
                  </w:tcBorders>
                  <w:noWrap w:val="0"/>
                  <w:vAlign w:val="center"/>
                </w:tcPr>
                <w:p w14:paraId="07D2769C">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餐厨垃圾</w:t>
                  </w:r>
                </w:p>
              </w:tc>
              <w:tc>
                <w:tcPr>
                  <w:tcW w:w="1088" w:type="dxa"/>
                  <w:tcBorders>
                    <w:tl2br w:val="nil"/>
                    <w:tr2bl w:val="nil"/>
                  </w:tcBorders>
                  <w:noWrap w:val="0"/>
                  <w:vAlign w:val="center"/>
                </w:tcPr>
                <w:p w14:paraId="2C795D6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43E0975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固态</w:t>
                  </w:r>
                </w:p>
              </w:tc>
              <w:tc>
                <w:tcPr>
                  <w:tcW w:w="994" w:type="dxa"/>
                  <w:tcBorders>
                    <w:tl2br w:val="nil"/>
                    <w:tr2bl w:val="nil"/>
                  </w:tcBorders>
                  <w:noWrap w:val="0"/>
                  <w:vAlign w:val="center"/>
                </w:tcPr>
                <w:p w14:paraId="3CA0CA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5.25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6E606D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宋体" w:hAnsi="宋体" w:eastAsia="宋体" w:cs="宋体"/>
                      <w:b w:val="0"/>
                      <w:bCs w:val="0"/>
                      <w:color w:val="000000" w:themeColor="text1"/>
                      <w:kern w:val="0"/>
                      <w:sz w:val="21"/>
                      <w:szCs w:val="21"/>
                      <w:highlight w:val="none"/>
                      <w:lang w:val="en-US" w:eastAsia="zh-CN"/>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专用容器收集，日产日清，交由具有餐厨垃圾处置资质单位处置</w:t>
                  </w:r>
                </w:p>
              </w:tc>
              <w:tc>
                <w:tcPr>
                  <w:tcW w:w="1281" w:type="dxa"/>
                  <w:tcBorders>
                    <w:tl2br w:val="nil"/>
                    <w:tr2bl w:val="nil"/>
                  </w:tcBorders>
                  <w:noWrap w:val="0"/>
                  <w:vAlign w:val="center"/>
                </w:tcPr>
                <w:p w14:paraId="79E488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5.25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07F16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2693EE7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食堂</w:t>
                  </w:r>
                </w:p>
              </w:tc>
              <w:tc>
                <w:tcPr>
                  <w:tcW w:w="1535" w:type="dxa"/>
                  <w:tcBorders>
                    <w:tl2br w:val="nil"/>
                    <w:tr2bl w:val="nil"/>
                  </w:tcBorders>
                  <w:noWrap w:val="0"/>
                  <w:vAlign w:val="center"/>
                </w:tcPr>
                <w:p w14:paraId="3866BFA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油水分离器废油</w:t>
                  </w:r>
                </w:p>
              </w:tc>
              <w:tc>
                <w:tcPr>
                  <w:tcW w:w="1088" w:type="dxa"/>
                  <w:tcBorders>
                    <w:tl2br w:val="nil"/>
                    <w:tr2bl w:val="nil"/>
                  </w:tcBorders>
                  <w:noWrap w:val="0"/>
                  <w:vAlign w:val="center"/>
                </w:tcPr>
                <w:p w14:paraId="5B4216E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2E15D03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液态</w:t>
                  </w:r>
                </w:p>
              </w:tc>
              <w:tc>
                <w:tcPr>
                  <w:tcW w:w="994" w:type="dxa"/>
                  <w:tcBorders>
                    <w:tl2br w:val="nil"/>
                    <w:tr2bl w:val="nil"/>
                  </w:tcBorders>
                  <w:noWrap w:val="0"/>
                  <w:vAlign w:val="center"/>
                </w:tcPr>
                <w:p w14:paraId="2E85648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0.105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3D0C93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宋体" w:hAnsi="宋体" w:eastAsia="宋体" w:cs="宋体"/>
                      <w:b w:val="0"/>
                      <w:bCs w:val="0"/>
                      <w:color w:val="000000" w:themeColor="text1"/>
                      <w:kern w:val="0"/>
                      <w:sz w:val="21"/>
                      <w:szCs w:val="21"/>
                      <w:highlight w:val="none"/>
                      <w:lang w:val="en-US" w:eastAsia="zh-CN"/>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交由具有餐厨垃圾处置资质单位处置</w:t>
                  </w:r>
                </w:p>
              </w:tc>
              <w:tc>
                <w:tcPr>
                  <w:tcW w:w="1281" w:type="dxa"/>
                  <w:tcBorders>
                    <w:tl2br w:val="nil"/>
                    <w:tr2bl w:val="nil"/>
                  </w:tcBorders>
                  <w:noWrap w:val="0"/>
                  <w:vAlign w:val="center"/>
                </w:tcPr>
                <w:p w14:paraId="097491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0.105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bl>
          <w:p w14:paraId="182ADF2A">
            <w:pPr>
              <w:keepNext w:val="0"/>
              <w:keepLines w:val="0"/>
              <w:pageBreakBefore w:val="0"/>
              <w:widowControl w:val="0"/>
              <w:kinsoku/>
              <w:wordWrap/>
              <w:overflowPunct/>
              <w:topLinePunct w:val="0"/>
              <w:autoSpaceDE/>
              <w:autoSpaceDN/>
              <w:bidi w:val="0"/>
              <w:adjustRightInd w:val="0"/>
              <w:snapToGrid w:val="0"/>
              <w:spacing w:before="157" w:beforeLines="50" w:line="240" w:lineRule="auto"/>
              <w:ind w:left="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pPr>
          </w:p>
          <w:p w14:paraId="56463F40">
            <w:pPr>
              <w:keepNext w:val="0"/>
              <w:keepLines w:val="0"/>
              <w:pageBreakBefore w:val="0"/>
              <w:widowControl w:val="0"/>
              <w:kinsoku/>
              <w:wordWrap/>
              <w:overflowPunct/>
              <w:topLinePunct w:val="0"/>
              <w:autoSpaceDE/>
              <w:autoSpaceDN/>
              <w:bidi w:val="0"/>
              <w:adjustRightInd w:val="0"/>
              <w:snapToGrid w:val="0"/>
              <w:spacing w:before="157" w:beforeLines="50" w:line="240" w:lineRule="auto"/>
              <w:ind w:left="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表4-1</w:t>
            </w:r>
            <w:r>
              <w:rPr>
                <w:rFonts w:hint="eastAsia"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 xml:space="preserve">5    </w:t>
            </w: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项目危险废物相关信息汇总表</w:t>
            </w:r>
          </w:p>
          <w:tbl>
            <w:tblPr>
              <w:tblStyle w:val="2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31"/>
              <w:gridCol w:w="1043"/>
              <w:gridCol w:w="1212"/>
              <w:gridCol w:w="1045"/>
              <w:gridCol w:w="762"/>
              <w:gridCol w:w="912"/>
              <w:gridCol w:w="519"/>
              <w:gridCol w:w="685"/>
              <w:gridCol w:w="660"/>
              <w:gridCol w:w="673"/>
            </w:tblGrid>
            <w:tr w14:paraId="3FD5B4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0AA9383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序号</w:t>
                  </w:r>
                </w:p>
              </w:tc>
              <w:tc>
                <w:tcPr>
                  <w:tcW w:w="1043" w:type="dxa"/>
                  <w:tcBorders>
                    <w:tl2br w:val="nil"/>
                    <w:tr2bl w:val="nil"/>
                  </w:tcBorders>
                  <w:noWrap w:val="0"/>
                  <w:vAlign w:val="center"/>
                </w:tcPr>
                <w:p w14:paraId="27DFDB0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w:t>
                  </w:r>
                </w:p>
                <w:p w14:paraId="7A1188B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名称</w:t>
                  </w:r>
                </w:p>
              </w:tc>
              <w:tc>
                <w:tcPr>
                  <w:tcW w:w="1212" w:type="dxa"/>
                  <w:tcBorders>
                    <w:tl2br w:val="nil"/>
                    <w:tr2bl w:val="nil"/>
                  </w:tcBorders>
                  <w:noWrap w:val="0"/>
                  <w:vAlign w:val="center"/>
                </w:tcPr>
                <w:p w14:paraId="53C122E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w:t>
                  </w:r>
                </w:p>
                <w:p w14:paraId="01BA7B5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类别</w:t>
                  </w:r>
                </w:p>
              </w:tc>
              <w:tc>
                <w:tcPr>
                  <w:tcW w:w="1045" w:type="dxa"/>
                  <w:tcBorders>
                    <w:tl2br w:val="nil"/>
                    <w:tr2bl w:val="nil"/>
                  </w:tcBorders>
                  <w:noWrap w:val="0"/>
                  <w:vAlign w:val="center"/>
                </w:tcPr>
                <w:p w14:paraId="4D3C8ED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危险废物代码</w:t>
                  </w:r>
                </w:p>
              </w:tc>
              <w:tc>
                <w:tcPr>
                  <w:tcW w:w="762" w:type="dxa"/>
                  <w:tcBorders>
                    <w:tl2br w:val="nil"/>
                    <w:tr2bl w:val="nil"/>
                  </w:tcBorders>
                  <w:noWrap w:val="0"/>
                  <w:vAlign w:val="center"/>
                </w:tcPr>
                <w:p w14:paraId="27DE122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产生量</w:t>
                  </w:r>
                </w:p>
              </w:tc>
              <w:tc>
                <w:tcPr>
                  <w:tcW w:w="912" w:type="dxa"/>
                  <w:tcBorders>
                    <w:tl2br w:val="nil"/>
                    <w:tr2bl w:val="nil"/>
                  </w:tcBorders>
                  <w:noWrap w:val="0"/>
                  <w:vAlign w:val="center"/>
                </w:tcPr>
                <w:p w14:paraId="62DBFF9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产生工序及装置</w:t>
                  </w:r>
                </w:p>
              </w:tc>
              <w:tc>
                <w:tcPr>
                  <w:tcW w:w="519" w:type="dxa"/>
                  <w:tcBorders>
                    <w:tl2br w:val="nil"/>
                    <w:tr2bl w:val="nil"/>
                  </w:tcBorders>
                  <w:noWrap w:val="0"/>
                  <w:vAlign w:val="center"/>
                </w:tcPr>
                <w:p w14:paraId="3297418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形态</w:t>
                  </w:r>
                </w:p>
              </w:tc>
              <w:tc>
                <w:tcPr>
                  <w:tcW w:w="685" w:type="dxa"/>
                  <w:tcBorders>
                    <w:tl2br w:val="nil"/>
                    <w:tr2bl w:val="nil"/>
                  </w:tcBorders>
                  <w:noWrap w:val="0"/>
                  <w:vAlign w:val="center"/>
                </w:tcPr>
                <w:p w14:paraId="47D495D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有害</w:t>
                  </w:r>
                </w:p>
                <w:p w14:paraId="7DE42DC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成分</w:t>
                  </w:r>
                </w:p>
              </w:tc>
              <w:tc>
                <w:tcPr>
                  <w:tcW w:w="660" w:type="dxa"/>
                  <w:tcBorders>
                    <w:tl2br w:val="nil"/>
                    <w:tr2bl w:val="nil"/>
                  </w:tcBorders>
                  <w:noWrap w:val="0"/>
                  <w:vAlign w:val="center"/>
                </w:tcPr>
                <w:p w14:paraId="09F7B65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危害</w:t>
                  </w:r>
                </w:p>
                <w:p w14:paraId="1890A18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特性</w:t>
                  </w:r>
                </w:p>
              </w:tc>
              <w:tc>
                <w:tcPr>
                  <w:tcW w:w="673" w:type="dxa"/>
                  <w:tcBorders>
                    <w:tl2br w:val="nil"/>
                    <w:tr2bl w:val="nil"/>
                  </w:tcBorders>
                  <w:noWrap w:val="0"/>
                  <w:vAlign w:val="center"/>
                </w:tcPr>
                <w:p w14:paraId="0D5D77C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产生</w:t>
                  </w:r>
                </w:p>
                <w:p w14:paraId="322CCDA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周期</w:t>
                  </w:r>
                </w:p>
              </w:tc>
            </w:tr>
            <w:tr w14:paraId="1A11B8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4728D86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1</w:t>
                  </w:r>
                </w:p>
              </w:tc>
              <w:tc>
                <w:tcPr>
                  <w:tcW w:w="1043" w:type="dxa"/>
                  <w:tcBorders>
                    <w:tl2br w:val="nil"/>
                    <w:tr2bl w:val="nil"/>
                  </w:tcBorders>
                  <w:noWrap w:val="0"/>
                  <w:vAlign w:val="center"/>
                </w:tcPr>
                <w:p w14:paraId="35908078">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隔油沉淀池废油污</w:t>
                  </w:r>
                </w:p>
              </w:tc>
              <w:tc>
                <w:tcPr>
                  <w:tcW w:w="1212" w:type="dxa"/>
                  <w:tcBorders>
                    <w:tl2br w:val="nil"/>
                    <w:tr2bl w:val="nil"/>
                  </w:tcBorders>
                  <w:noWrap w:val="0"/>
                  <w:vAlign w:val="center"/>
                </w:tcPr>
                <w:p w14:paraId="30AE491E">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HW08废矿物油与含矿物油废物</w:t>
                  </w:r>
                </w:p>
              </w:tc>
              <w:tc>
                <w:tcPr>
                  <w:tcW w:w="1045" w:type="dxa"/>
                  <w:tcBorders>
                    <w:tl2br w:val="nil"/>
                    <w:tr2bl w:val="nil"/>
                  </w:tcBorders>
                  <w:noWrap w:val="0"/>
                  <w:vAlign w:val="center"/>
                </w:tcPr>
                <w:p w14:paraId="2BDCD5FD">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900-210-08</w:t>
                  </w:r>
                </w:p>
              </w:tc>
              <w:tc>
                <w:tcPr>
                  <w:tcW w:w="762" w:type="dxa"/>
                  <w:tcBorders>
                    <w:tl2br w:val="nil"/>
                    <w:tr2bl w:val="nil"/>
                  </w:tcBorders>
                  <w:noWrap w:val="0"/>
                  <w:vAlign w:val="center"/>
                </w:tcPr>
                <w:p w14:paraId="5601FD65">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0.</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t/a</w:t>
                  </w:r>
                </w:p>
              </w:tc>
              <w:tc>
                <w:tcPr>
                  <w:tcW w:w="912" w:type="dxa"/>
                  <w:tcBorders>
                    <w:tl2br w:val="nil"/>
                    <w:tr2bl w:val="nil"/>
                  </w:tcBorders>
                  <w:noWrap w:val="0"/>
                  <w:vAlign w:val="center"/>
                </w:tcPr>
                <w:p w14:paraId="602537D1">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污水治理</w:t>
                  </w:r>
                </w:p>
              </w:tc>
              <w:tc>
                <w:tcPr>
                  <w:tcW w:w="519" w:type="dxa"/>
                  <w:tcBorders>
                    <w:tl2br w:val="nil"/>
                    <w:tr2bl w:val="nil"/>
                  </w:tcBorders>
                  <w:noWrap w:val="0"/>
                  <w:vAlign w:val="center"/>
                </w:tcPr>
                <w:p w14:paraId="7D159498">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液</w:t>
                  </w:r>
                </w:p>
              </w:tc>
              <w:tc>
                <w:tcPr>
                  <w:tcW w:w="685" w:type="dxa"/>
                  <w:tcBorders>
                    <w:tl2br w:val="nil"/>
                    <w:tr2bl w:val="nil"/>
                  </w:tcBorders>
                  <w:noWrap w:val="0"/>
                  <w:vAlign w:val="center"/>
                </w:tcPr>
                <w:p w14:paraId="28506AC3">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矿物油</w:t>
                  </w:r>
                </w:p>
              </w:tc>
              <w:tc>
                <w:tcPr>
                  <w:tcW w:w="660" w:type="dxa"/>
                  <w:tcBorders>
                    <w:tl2br w:val="nil"/>
                    <w:tr2bl w:val="nil"/>
                  </w:tcBorders>
                  <w:noWrap w:val="0"/>
                  <w:vAlign w:val="center"/>
                </w:tcPr>
                <w:p w14:paraId="0F36491D">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T</w:t>
                  </w:r>
                </w:p>
              </w:tc>
              <w:tc>
                <w:tcPr>
                  <w:tcW w:w="673" w:type="dxa"/>
                  <w:tcBorders>
                    <w:tl2br w:val="nil"/>
                    <w:tr2bl w:val="nil"/>
                  </w:tcBorders>
                  <w:noWrap w:val="0"/>
                  <w:vAlign w:val="center"/>
                </w:tcPr>
                <w:p w14:paraId="32C5906A">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每</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月</w:t>
                  </w:r>
                </w:p>
              </w:tc>
            </w:tr>
            <w:tr w14:paraId="66268B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0B38082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2</w:t>
                  </w:r>
                </w:p>
              </w:tc>
              <w:tc>
                <w:tcPr>
                  <w:tcW w:w="1043" w:type="dxa"/>
                  <w:tcBorders>
                    <w:tl2br w:val="nil"/>
                    <w:tr2bl w:val="nil"/>
                  </w:tcBorders>
                  <w:noWrap w:val="0"/>
                  <w:vAlign w:val="center"/>
                </w:tcPr>
                <w:p w14:paraId="433C000E">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废机油及包装桶</w:t>
                  </w:r>
                </w:p>
              </w:tc>
              <w:tc>
                <w:tcPr>
                  <w:tcW w:w="1212" w:type="dxa"/>
                  <w:tcBorders>
                    <w:tl2br w:val="nil"/>
                    <w:tr2bl w:val="nil"/>
                  </w:tcBorders>
                  <w:noWrap w:val="0"/>
                  <w:vAlign w:val="center"/>
                </w:tcPr>
                <w:p w14:paraId="6EAE6A5F">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HW08废矿物油与含矿物油废物</w:t>
                  </w:r>
                </w:p>
              </w:tc>
              <w:tc>
                <w:tcPr>
                  <w:tcW w:w="1045" w:type="dxa"/>
                  <w:tcBorders>
                    <w:tl2br w:val="nil"/>
                    <w:tr2bl w:val="nil"/>
                  </w:tcBorders>
                  <w:noWrap w:val="0"/>
                  <w:vAlign w:val="center"/>
                </w:tcPr>
                <w:p w14:paraId="3E511F72">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900-249-08</w:t>
                  </w:r>
                </w:p>
              </w:tc>
              <w:tc>
                <w:tcPr>
                  <w:tcW w:w="762" w:type="dxa"/>
                  <w:tcBorders>
                    <w:tl2br w:val="nil"/>
                    <w:tr2bl w:val="nil"/>
                  </w:tcBorders>
                  <w:noWrap w:val="0"/>
                  <w:vAlign w:val="center"/>
                </w:tcPr>
                <w:p w14:paraId="22987079">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t>0.</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t/a</w:t>
                  </w:r>
                </w:p>
              </w:tc>
              <w:tc>
                <w:tcPr>
                  <w:tcW w:w="912" w:type="dxa"/>
                  <w:tcBorders>
                    <w:tl2br w:val="nil"/>
                    <w:tr2bl w:val="nil"/>
                  </w:tcBorders>
                  <w:noWrap w:val="0"/>
                  <w:vAlign w:val="center"/>
                </w:tcPr>
                <w:p w14:paraId="1F79D240">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设备维护保养</w:t>
                  </w:r>
                </w:p>
              </w:tc>
              <w:tc>
                <w:tcPr>
                  <w:tcW w:w="519" w:type="dxa"/>
                  <w:tcBorders>
                    <w:tl2br w:val="nil"/>
                    <w:tr2bl w:val="nil"/>
                  </w:tcBorders>
                  <w:noWrap w:val="0"/>
                  <w:vAlign w:val="center"/>
                </w:tcPr>
                <w:p w14:paraId="36A4E4E8">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highlight w:val="none"/>
                      <w:lang w:eastAsia="zh-CN"/>
                      <w14:textFill>
                        <w14:solidFill>
                          <w14:schemeClr w14:val="tx1"/>
                        </w14:solidFill>
                      </w14:textFill>
                    </w:rPr>
                    <w:t>液</w:t>
                  </w:r>
                  <w:r>
                    <w:rPr>
                      <w:rFonts w:hint="eastAsia" w:ascii="Times New Roman" w:hAnsi="Times New Roman" w:eastAsia="宋体" w:cs="Times New Roman"/>
                      <w:color w:val="000000" w:themeColor="text1"/>
                      <w:kern w:val="0"/>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kern w:val="0"/>
                      <w:szCs w:val="21"/>
                      <w:highlight w:val="none"/>
                      <w14:textFill>
                        <w14:solidFill>
                          <w14:schemeClr w14:val="tx1"/>
                        </w14:solidFill>
                      </w14:textFill>
                    </w:rPr>
                    <w:t>固</w:t>
                  </w:r>
                </w:p>
              </w:tc>
              <w:tc>
                <w:tcPr>
                  <w:tcW w:w="685" w:type="dxa"/>
                  <w:tcBorders>
                    <w:tl2br w:val="nil"/>
                    <w:tr2bl w:val="nil"/>
                  </w:tcBorders>
                  <w:noWrap w:val="0"/>
                  <w:vAlign w:val="center"/>
                </w:tcPr>
                <w:p w14:paraId="0FD3C08F">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矿物油</w:t>
                  </w:r>
                </w:p>
              </w:tc>
              <w:tc>
                <w:tcPr>
                  <w:tcW w:w="660" w:type="dxa"/>
                  <w:tcBorders>
                    <w:tl2br w:val="nil"/>
                    <w:tr2bl w:val="nil"/>
                  </w:tcBorders>
                  <w:noWrap w:val="0"/>
                  <w:vAlign w:val="center"/>
                </w:tcPr>
                <w:p w14:paraId="0D1DB2FF">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T</w:t>
                  </w:r>
                </w:p>
              </w:tc>
              <w:tc>
                <w:tcPr>
                  <w:tcW w:w="673" w:type="dxa"/>
                  <w:tcBorders>
                    <w:tl2br w:val="nil"/>
                    <w:tr2bl w:val="nil"/>
                  </w:tcBorders>
                  <w:noWrap w:val="0"/>
                  <w:vAlign w:val="center"/>
                </w:tcPr>
                <w:p w14:paraId="25EFE28D">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每</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月</w:t>
                  </w:r>
                </w:p>
              </w:tc>
            </w:tr>
            <w:tr w14:paraId="386035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45001AC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3</w:t>
                  </w:r>
                </w:p>
              </w:tc>
              <w:tc>
                <w:tcPr>
                  <w:tcW w:w="1043" w:type="dxa"/>
                  <w:tcBorders>
                    <w:tl2br w:val="nil"/>
                    <w:tr2bl w:val="nil"/>
                  </w:tcBorders>
                  <w:noWrap w:val="0"/>
                  <w:vAlign w:val="center"/>
                </w:tcPr>
                <w:p w14:paraId="39CCBB23">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沾油废物</w:t>
                  </w:r>
                </w:p>
              </w:tc>
              <w:tc>
                <w:tcPr>
                  <w:tcW w:w="1212" w:type="dxa"/>
                  <w:tcBorders>
                    <w:tl2br w:val="nil"/>
                    <w:tr2bl w:val="nil"/>
                  </w:tcBorders>
                  <w:noWrap w:val="0"/>
                  <w:vAlign w:val="center"/>
                </w:tcPr>
                <w:p w14:paraId="3261AF86">
                  <w:pPr>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HW49</w:t>
                  </w:r>
                </w:p>
                <w:p w14:paraId="320A3944">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其他废物</w:t>
                  </w:r>
                </w:p>
              </w:tc>
              <w:tc>
                <w:tcPr>
                  <w:tcW w:w="1045" w:type="dxa"/>
                  <w:tcBorders>
                    <w:tl2br w:val="nil"/>
                    <w:tr2bl w:val="nil"/>
                  </w:tcBorders>
                  <w:noWrap w:val="0"/>
                  <w:vAlign w:val="center"/>
                </w:tcPr>
                <w:p w14:paraId="5F26B851">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900-041-49</w:t>
                  </w:r>
                </w:p>
              </w:tc>
              <w:tc>
                <w:tcPr>
                  <w:tcW w:w="762" w:type="dxa"/>
                  <w:tcBorders>
                    <w:tl2br w:val="nil"/>
                    <w:tr2bl w:val="nil"/>
                  </w:tcBorders>
                  <w:noWrap w:val="0"/>
                  <w:vAlign w:val="center"/>
                </w:tcPr>
                <w:p w14:paraId="6D977F51">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t>0.02</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t/a</w:t>
                  </w:r>
                </w:p>
              </w:tc>
              <w:tc>
                <w:tcPr>
                  <w:tcW w:w="912" w:type="dxa"/>
                  <w:tcBorders>
                    <w:tl2br w:val="nil"/>
                    <w:tr2bl w:val="nil"/>
                  </w:tcBorders>
                  <w:noWrap w:val="0"/>
                  <w:vAlign w:val="center"/>
                </w:tcPr>
                <w:p w14:paraId="606D8DBE">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设备维护保养</w:t>
                  </w:r>
                </w:p>
              </w:tc>
              <w:tc>
                <w:tcPr>
                  <w:tcW w:w="519" w:type="dxa"/>
                  <w:tcBorders>
                    <w:tl2br w:val="nil"/>
                    <w:tr2bl w:val="nil"/>
                  </w:tcBorders>
                  <w:noWrap w:val="0"/>
                  <w:vAlign w:val="center"/>
                </w:tcPr>
                <w:p w14:paraId="13BE7D96">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固</w:t>
                  </w:r>
                </w:p>
              </w:tc>
              <w:tc>
                <w:tcPr>
                  <w:tcW w:w="685" w:type="dxa"/>
                  <w:tcBorders>
                    <w:tl2br w:val="nil"/>
                    <w:tr2bl w:val="nil"/>
                  </w:tcBorders>
                  <w:noWrap w:val="0"/>
                  <w:vAlign w:val="center"/>
                </w:tcPr>
                <w:p w14:paraId="1D35128C">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矿物油</w:t>
                  </w:r>
                </w:p>
              </w:tc>
              <w:tc>
                <w:tcPr>
                  <w:tcW w:w="660" w:type="dxa"/>
                  <w:tcBorders>
                    <w:tl2br w:val="nil"/>
                    <w:tr2bl w:val="nil"/>
                  </w:tcBorders>
                  <w:noWrap w:val="0"/>
                  <w:vAlign w:val="center"/>
                </w:tcPr>
                <w:p w14:paraId="0F50B257">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T</w:t>
                  </w:r>
                </w:p>
              </w:tc>
              <w:tc>
                <w:tcPr>
                  <w:tcW w:w="673" w:type="dxa"/>
                  <w:tcBorders>
                    <w:tl2br w:val="nil"/>
                    <w:tr2bl w:val="nil"/>
                  </w:tcBorders>
                  <w:noWrap w:val="0"/>
                  <w:vAlign w:val="center"/>
                </w:tcPr>
                <w:p w14:paraId="09E08DFD">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每</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月</w:t>
                  </w:r>
                </w:p>
              </w:tc>
            </w:tr>
          </w:tbl>
          <w:p w14:paraId="5EAE74F6">
            <w:pPr>
              <w:keepNext w:val="0"/>
              <w:keepLines w:val="0"/>
              <w:pageBreakBefore w:val="0"/>
              <w:widowControl w:val="0"/>
              <w:kinsoku/>
              <w:wordWrap/>
              <w:overflowPunct/>
              <w:topLinePunct w:val="0"/>
              <w:autoSpaceDE/>
              <w:autoSpaceDN/>
              <w:bidi w:val="0"/>
              <w:adjustRightInd w:val="0"/>
              <w:snapToGrid w:val="0"/>
              <w:spacing w:before="157" w:beforeLines="50" w:line="240" w:lineRule="auto"/>
              <w:ind w:left="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表4-1</w:t>
            </w:r>
            <w:r>
              <w:rPr>
                <w:rFonts w:hint="eastAsia"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 xml:space="preserve">6    </w:t>
            </w: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项目危险废物贮存场所基本情况表</w:t>
            </w:r>
          </w:p>
          <w:tbl>
            <w:tblPr>
              <w:tblStyle w:val="21"/>
              <w:tblW w:w="7946"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85"/>
              <w:gridCol w:w="930"/>
              <w:gridCol w:w="967"/>
              <w:gridCol w:w="794"/>
              <w:gridCol w:w="795"/>
              <w:gridCol w:w="795"/>
              <w:gridCol w:w="795"/>
              <w:gridCol w:w="795"/>
              <w:gridCol w:w="795"/>
              <w:gridCol w:w="795"/>
            </w:tblGrid>
            <w:tr w14:paraId="1CE3C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692B550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序号</w:t>
                  </w:r>
                </w:p>
              </w:tc>
              <w:tc>
                <w:tcPr>
                  <w:tcW w:w="930" w:type="dxa"/>
                  <w:tcBorders>
                    <w:tl2br w:val="nil"/>
                    <w:tr2bl w:val="nil"/>
                  </w:tcBorders>
                  <w:noWrap w:val="0"/>
                  <w:vAlign w:val="center"/>
                </w:tcPr>
                <w:p w14:paraId="434F8AB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贮存场所</w:t>
                  </w:r>
                </w:p>
              </w:tc>
              <w:tc>
                <w:tcPr>
                  <w:tcW w:w="967" w:type="dxa"/>
                  <w:tcBorders>
                    <w:tl2br w:val="nil"/>
                    <w:tr2bl w:val="nil"/>
                  </w:tcBorders>
                  <w:noWrap w:val="0"/>
                  <w:vAlign w:val="center"/>
                </w:tcPr>
                <w:p w14:paraId="2720EED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危废名称</w:t>
                  </w:r>
                </w:p>
              </w:tc>
              <w:tc>
                <w:tcPr>
                  <w:tcW w:w="794" w:type="dxa"/>
                  <w:tcBorders>
                    <w:tl2br w:val="nil"/>
                    <w:tr2bl w:val="nil"/>
                  </w:tcBorders>
                  <w:noWrap w:val="0"/>
                  <w:vAlign w:val="center"/>
                </w:tcPr>
                <w:p w14:paraId="7F2D280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危险废物类别</w:t>
                  </w:r>
                </w:p>
              </w:tc>
              <w:tc>
                <w:tcPr>
                  <w:tcW w:w="795" w:type="dxa"/>
                  <w:tcBorders>
                    <w:tl2br w:val="nil"/>
                    <w:tr2bl w:val="nil"/>
                  </w:tcBorders>
                  <w:noWrap w:val="0"/>
                  <w:vAlign w:val="center"/>
                </w:tcPr>
                <w:p w14:paraId="64CD63C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危险废物代码</w:t>
                  </w:r>
                </w:p>
              </w:tc>
              <w:tc>
                <w:tcPr>
                  <w:tcW w:w="795" w:type="dxa"/>
                  <w:tcBorders>
                    <w:tl2br w:val="nil"/>
                    <w:tr2bl w:val="nil"/>
                  </w:tcBorders>
                  <w:noWrap w:val="0"/>
                  <w:vAlign w:val="center"/>
                </w:tcPr>
                <w:p w14:paraId="5B1939E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位置</w:t>
                  </w:r>
                </w:p>
              </w:tc>
              <w:tc>
                <w:tcPr>
                  <w:tcW w:w="795" w:type="dxa"/>
                  <w:tcBorders>
                    <w:tl2br w:val="nil"/>
                    <w:tr2bl w:val="nil"/>
                  </w:tcBorders>
                  <w:noWrap w:val="0"/>
                  <w:vAlign w:val="center"/>
                </w:tcPr>
                <w:p w14:paraId="3D190D9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占地</w:t>
                  </w:r>
                </w:p>
                <w:p w14:paraId="6574C89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面积</w:t>
                  </w:r>
                </w:p>
              </w:tc>
              <w:tc>
                <w:tcPr>
                  <w:tcW w:w="795" w:type="dxa"/>
                  <w:tcBorders>
                    <w:tl2br w:val="nil"/>
                    <w:tr2bl w:val="nil"/>
                  </w:tcBorders>
                  <w:noWrap w:val="0"/>
                  <w:vAlign w:val="center"/>
                </w:tcPr>
                <w:p w14:paraId="7DA2DEE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w:t>
                  </w:r>
                </w:p>
                <w:p w14:paraId="29CB31F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方式</w:t>
                  </w:r>
                </w:p>
              </w:tc>
              <w:tc>
                <w:tcPr>
                  <w:tcW w:w="795" w:type="dxa"/>
                  <w:tcBorders>
                    <w:tl2br w:val="nil"/>
                    <w:tr2bl w:val="nil"/>
                  </w:tcBorders>
                  <w:noWrap w:val="0"/>
                  <w:vAlign w:val="center"/>
                </w:tcPr>
                <w:p w14:paraId="59A447C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w:t>
                  </w:r>
                </w:p>
                <w:p w14:paraId="2FEB420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能力</w:t>
                  </w:r>
                </w:p>
              </w:tc>
              <w:tc>
                <w:tcPr>
                  <w:tcW w:w="795" w:type="dxa"/>
                  <w:tcBorders>
                    <w:tl2br w:val="nil"/>
                    <w:tr2bl w:val="nil"/>
                  </w:tcBorders>
                  <w:noWrap w:val="0"/>
                  <w:vAlign w:val="center"/>
                </w:tcPr>
                <w:p w14:paraId="5B88C96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贮存贮存周期</w:t>
                  </w:r>
                </w:p>
              </w:tc>
            </w:tr>
            <w:tr w14:paraId="30A0EC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636A738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1</w:t>
                  </w:r>
                </w:p>
              </w:tc>
              <w:tc>
                <w:tcPr>
                  <w:tcW w:w="930" w:type="dxa"/>
                  <w:vMerge w:val="restart"/>
                  <w:tcBorders>
                    <w:tl2br w:val="nil"/>
                    <w:tr2bl w:val="nil"/>
                  </w:tcBorders>
                  <w:noWrap w:val="0"/>
                  <w:vAlign w:val="center"/>
                </w:tcPr>
                <w:p w14:paraId="32F0BD3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危废</w:t>
                  </w:r>
                </w:p>
                <w:p w14:paraId="60F367A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暂存间</w:t>
                  </w:r>
                </w:p>
              </w:tc>
              <w:tc>
                <w:tcPr>
                  <w:tcW w:w="967" w:type="dxa"/>
                  <w:tcBorders>
                    <w:tl2br w:val="nil"/>
                    <w:tr2bl w:val="nil"/>
                  </w:tcBorders>
                  <w:noWrap w:val="0"/>
                  <w:vAlign w:val="center"/>
                </w:tcPr>
                <w:p w14:paraId="31FD32FD">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隔油沉淀池废油污</w:t>
                  </w:r>
                </w:p>
              </w:tc>
              <w:tc>
                <w:tcPr>
                  <w:tcW w:w="794" w:type="dxa"/>
                  <w:tcBorders>
                    <w:tl2br w:val="nil"/>
                    <w:tr2bl w:val="nil"/>
                  </w:tcBorders>
                  <w:noWrap w:val="0"/>
                  <w:vAlign w:val="center"/>
                </w:tcPr>
                <w:p w14:paraId="7476376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HW08</w:t>
                  </w:r>
                </w:p>
              </w:tc>
              <w:tc>
                <w:tcPr>
                  <w:tcW w:w="795" w:type="dxa"/>
                  <w:tcBorders>
                    <w:tl2br w:val="nil"/>
                    <w:tr2bl w:val="nil"/>
                  </w:tcBorders>
                  <w:noWrap w:val="0"/>
                  <w:vAlign w:val="center"/>
                </w:tcPr>
                <w:p w14:paraId="3C62EE02">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900-210-08</w:t>
                  </w:r>
                </w:p>
              </w:tc>
              <w:tc>
                <w:tcPr>
                  <w:tcW w:w="795" w:type="dxa"/>
                  <w:vMerge w:val="restart"/>
                  <w:tcBorders>
                    <w:tl2br w:val="nil"/>
                    <w:tr2bl w:val="nil"/>
                  </w:tcBorders>
                  <w:noWrap w:val="0"/>
                  <w:vAlign w:val="center"/>
                </w:tcPr>
                <w:p w14:paraId="2C92723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钢筋加工场南侧</w:t>
                  </w:r>
                </w:p>
              </w:tc>
              <w:tc>
                <w:tcPr>
                  <w:tcW w:w="795" w:type="dxa"/>
                  <w:vMerge w:val="restart"/>
                  <w:tcBorders>
                    <w:tl2br w:val="nil"/>
                    <w:tr2bl w:val="nil"/>
                  </w:tcBorders>
                  <w:noWrap w:val="0"/>
                  <w:vAlign w:val="center"/>
                </w:tcPr>
                <w:p w14:paraId="50104D2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t>3</w:t>
                  </w:r>
                  <w:r>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t>m</w:t>
                  </w:r>
                  <w:r>
                    <w:rPr>
                      <w:rFonts w:hint="default" w:ascii="Times New Roman" w:hAnsi="Times New Roman" w:eastAsia="宋体" w:cs="Times New Roman"/>
                      <w:b w:val="0"/>
                      <w:bCs/>
                      <w:color w:val="000000" w:themeColor="text1"/>
                      <w:kern w:val="2"/>
                      <w:sz w:val="21"/>
                      <w:szCs w:val="21"/>
                      <w:highlight w:val="none"/>
                      <w:vertAlign w:val="superscript"/>
                      <w:lang w:val="en-US" w:eastAsia="zh-CN" w:bidi="ar-SA"/>
                      <w14:textFill>
                        <w14:solidFill>
                          <w14:schemeClr w14:val="tx1"/>
                        </w14:solidFill>
                      </w14:textFill>
                    </w:rPr>
                    <w:t>2</w:t>
                  </w:r>
                </w:p>
              </w:tc>
              <w:tc>
                <w:tcPr>
                  <w:tcW w:w="795" w:type="dxa"/>
                  <w:tcBorders>
                    <w:tl2br w:val="nil"/>
                    <w:tr2bl w:val="nil"/>
                  </w:tcBorders>
                  <w:noWrap w:val="0"/>
                  <w:vAlign w:val="center"/>
                </w:tcPr>
                <w:p w14:paraId="49FEFE4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桶装</w:t>
                  </w:r>
                </w:p>
              </w:tc>
              <w:tc>
                <w:tcPr>
                  <w:tcW w:w="795" w:type="dxa"/>
                  <w:tcBorders>
                    <w:tl2br w:val="nil"/>
                    <w:tr2bl w:val="nil"/>
                  </w:tcBorders>
                  <w:noWrap w:val="0"/>
                  <w:vAlign w:val="center"/>
                </w:tcPr>
                <w:p w14:paraId="46F5466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0.5t</w:t>
                  </w:r>
                </w:p>
              </w:tc>
              <w:tc>
                <w:tcPr>
                  <w:tcW w:w="795" w:type="dxa"/>
                  <w:tcBorders>
                    <w:tl2br w:val="nil"/>
                    <w:tr2bl w:val="nil"/>
                  </w:tcBorders>
                  <w:noWrap w:val="0"/>
                  <w:vAlign w:val="center"/>
                </w:tcPr>
                <w:p w14:paraId="3AE8851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w:t>
                  </w:r>
                </w:p>
              </w:tc>
            </w:tr>
            <w:tr w14:paraId="1380D0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2EE2EE8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2</w:t>
                  </w:r>
                </w:p>
              </w:tc>
              <w:tc>
                <w:tcPr>
                  <w:tcW w:w="930" w:type="dxa"/>
                  <w:vMerge w:val="continue"/>
                  <w:tcBorders>
                    <w:tl2br w:val="nil"/>
                    <w:tr2bl w:val="nil"/>
                  </w:tcBorders>
                  <w:noWrap w:val="0"/>
                  <w:vAlign w:val="center"/>
                </w:tcPr>
                <w:p w14:paraId="617C3B9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967" w:type="dxa"/>
                  <w:tcBorders>
                    <w:tl2br w:val="nil"/>
                    <w:tr2bl w:val="nil"/>
                  </w:tcBorders>
                  <w:noWrap w:val="0"/>
                  <w:vAlign w:val="center"/>
                </w:tcPr>
                <w:p w14:paraId="5BC9CF5D">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废机油及包装桶</w:t>
                  </w:r>
                </w:p>
              </w:tc>
              <w:tc>
                <w:tcPr>
                  <w:tcW w:w="794" w:type="dxa"/>
                  <w:tcBorders>
                    <w:tl2br w:val="nil"/>
                    <w:tr2bl w:val="nil"/>
                  </w:tcBorders>
                  <w:noWrap w:val="0"/>
                  <w:vAlign w:val="center"/>
                </w:tcPr>
                <w:p w14:paraId="543AB22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HW08</w:t>
                  </w:r>
                </w:p>
              </w:tc>
              <w:tc>
                <w:tcPr>
                  <w:tcW w:w="795" w:type="dxa"/>
                  <w:tcBorders>
                    <w:tl2br w:val="nil"/>
                    <w:tr2bl w:val="nil"/>
                  </w:tcBorders>
                  <w:noWrap w:val="0"/>
                  <w:vAlign w:val="center"/>
                </w:tcPr>
                <w:p w14:paraId="0B7DF7F7">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900-249-08</w:t>
                  </w:r>
                </w:p>
              </w:tc>
              <w:tc>
                <w:tcPr>
                  <w:tcW w:w="795" w:type="dxa"/>
                  <w:vMerge w:val="continue"/>
                  <w:tcBorders>
                    <w:tl2br w:val="nil"/>
                    <w:tr2bl w:val="nil"/>
                  </w:tcBorders>
                  <w:noWrap w:val="0"/>
                  <w:vAlign w:val="center"/>
                </w:tcPr>
                <w:p w14:paraId="7432AD7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vMerge w:val="continue"/>
                  <w:tcBorders>
                    <w:tl2br w:val="nil"/>
                    <w:tr2bl w:val="nil"/>
                  </w:tcBorders>
                  <w:noWrap w:val="0"/>
                  <w:vAlign w:val="center"/>
                </w:tcPr>
                <w:p w14:paraId="0428E53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tcBorders>
                    <w:tl2br w:val="nil"/>
                    <w:tr2bl w:val="nil"/>
                  </w:tcBorders>
                  <w:noWrap w:val="0"/>
                  <w:vAlign w:val="center"/>
                </w:tcPr>
                <w:p w14:paraId="756908E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桶装</w:t>
                  </w:r>
                </w:p>
              </w:tc>
              <w:tc>
                <w:tcPr>
                  <w:tcW w:w="795" w:type="dxa"/>
                  <w:tcBorders>
                    <w:tl2br w:val="nil"/>
                    <w:tr2bl w:val="nil"/>
                  </w:tcBorders>
                  <w:noWrap w:val="0"/>
                  <w:vAlign w:val="center"/>
                </w:tcPr>
                <w:p w14:paraId="210FFA6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0.5t</w:t>
                  </w:r>
                </w:p>
              </w:tc>
              <w:tc>
                <w:tcPr>
                  <w:tcW w:w="795" w:type="dxa"/>
                  <w:tcBorders>
                    <w:tl2br w:val="nil"/>
                    <w:tr2bl w:val="nil"/>
                  </w:tcBorders>
                  <w:noWrap w:val="0"/>
                  <w:vAlign w:val="center"/>
                </w:tcPr>
                <w:p w14:paraId="75C2447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w:t>
                  </w:r>
                </w:p>
              </w:tc>
            </w:tr>
            <w:tr w14:paraId="434A3F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7C608C9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3</w:t>
                  </w:r>
                </w:p>
              </w:tc>
              <w:tc>
                <w:tcPr>
                  <w:tcW w:w="930" w:type="dxa"/>
                  <w:vMerge w:val="continue"/>
                  <w:tcBorders>
                    <w:tl2br w:val="nil"/>
                    <w:tr2bl w:val="nil"/>
                  </w:tcBorders>
                  <w:noWrap w:val="0"/>
                  <w:vAlign w:val="center"/>
                </w:tcPr>
                <w:p w14:paraId="3AF4D45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967" w:type="dxa"/>
                  <w:tcBorders>
                    <w:tl2br w:val="nil"/>
                    <w:tr2bl w:val="nil"/>
                  </w:tcBorders>
                  <w:noWrap w:val="0"/>
                  <w:vAlign w:val="center"/>
                </w:tcPr>
                <w:p w14:paraId="591CF7A9">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沾油废物</w:t>
                  </w:r>
                </w:p>
              </w:tc>
              <w:tc>
                <w:tcPr>
                  <w:tcW w:w="794" w:type="dxa"/>
                  <w:tcBorders>
                    <w:tl2br w:val="nil"/>
                    <w:tr2bl w:val="nil"/>
                  </w:tcBorders>
                  <w:noWrap w:val="0"/>
                  <w:vAlign w:val="center"/>
                </w:tcPr>
                <w:p w14:paraId="7A07065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HW49</w:t>
                  </w:r>
                </w:p>
              </w:tc>
              <w:tc>
                <w:tcPr>
                  <w:tcW w:w="795" w:type="dxa"/>
                  <w:tcBorders>
                    <w:tl2br w:val="nil"/>
                    <w:tr2bl w:val="nil"/>
                  </w:tcBorders>
                  <w:noWrap w:val="0"/>
                  <w:vAlign w:val="center"/>
                </w:tcPr>
                <w:p w14:paraId="02BC8FF8">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900-041-49</w:t>
                  </w:r>
                </w:p>
              </w:tc>
              <w:tc>
                <w:tcPr>
                  <w:tcW w:w="795" w:type="dxa"/>
                  <w:vMerge w:val="continue"/>
                  <w:tcBorders>
                    <w:tl2br w:val="nil"/>
                    <w:tr2bl w:val="nil"/>
                  </w:tcBorders>
                  <w:noWrap w:val="0"/>
                  <w:vAlign w:val="center"/>
                </w:tcPr>
                <w:p w14:paraId="5E56C97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vMerge w:val="continue"/>
                  <w:tcBorders>
                    <w:tl2br w:val="nil"/>
                    <w:tr2bl w:val="nil"/>
                  </w:tcBorders>
                  <w:noWrap w:val="0"/>
                  <w:vAlign w:val="center"/>
                </w:tcPr>
                <w:p w14:paraId="102DB5A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tcBorders>
                    <w:tl2br w:val="nil"/>
                    <w:tr2bl w:val="nil"/>
                  </w:tcBorders>
                  <w:noWrap w:val="0"/>
                  <w:vAlign w:val="center"/>
                </w:tcPr>
                <w:p w14:paraId="47C451A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袋装</w:t>
                  </w:r>
                </w:p>
              </w:tc>
              <w:tc>
                <w:tcPr>
                  <w:tcW w:w="795" w:type="dxa"/>
                  <w:tcBorders>
                    <w:tl2br w:val="nil"/>
                    <w:tr2bl w:val="nil"/>
                  </w:tcBorders>
                  <w:noWrap w:val="0"/>
                  <w:vAlign w:val="center"/>
                </w:tcPr>
                <w:p w14:paraId="39FD3E5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0.5t</w:t>
                  </w:r>
                </w:p>
              </w:tc>
              <w:tc>
                <w:tcPr>
                  <w:tcW w:w="795" w:type="dxa"/>
                  <w:tcBorders>
                    <w:tl2br w:val="nil"/>
                    <w:tr2bl w:val="nil"/>
                  </w:tcBorders>
                  <w:noWrap w:val="0"/>
                  <w:vAlign w:val="center"/>
                </w:tcPr>
                <w:p w14:paraId="31537E4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w:t>
                  </w:r>
                </w:p>
              </w:tc>
            </w:tr>
          </w:tbl>
          <w:p w14:paraId="6720F2B3">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2、环境管理要求</w:t>
            </w:r>
          </w:p>
          <w:p w14:paraId="37437D2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（1）一般固废管理要求</w:t>
            </w:r>
          </w:p>
          <w:p w14:paraId="604C0BC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建设单位需要在明显位置设置相应的固废分类暂存设施，并设置标识标牌，做到</w:t>
            </w:r>
            <w:r>
              <w:rPr>
                <w:rFonts w:ascii="宋体" w:hAnsi="宋体" w:eastAsia="宋体" w:cs="宋体"/>
                <w:color w:val="000000" w:themeColor="text1"/>
                <w:sz w:val="24"/>
                <w:szCs w:val="24"/>
                <w:highlight w:val="none"/>
                <w14:textFill>
                  <w14:solidFill>
                    <w14:schemeClr w14:val="tx1"/>
                  </w14:solidFill>
                </w14:textFill>
              </w:rPr>
              <w:t>防渗漏、防雨淋、防扬尘</w:t>
            </w:r>
            <w:r>
              <w:rPr>
                <w:rFonts w:hint="eastAsia"/>
                <w:color w:val="000000" w:themeColor="text1"/>
                <w:sz w:val="24"/>
                <w:szCs w:val="24"/>
                <w:highlight w:val="none"/>
                <w14:textFill>
                  <w14:solidFill>
                    <w14:schemeClr w14:val="tx1"/>
                  </w14:solidFill>
                </w14:textFill>
              </w:rPr>
              <w:t>，并将产生的废弃物分类存放于标识的容器内或存放区，不得在厂区内乱扔、乱堆。</w:t>
            </w:r>
          </w:p>
          <w:p w14:paraId="02C90AF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（2）危险废物管理要求</w:t>
            </w:r>
          </w:p>
          <w:p w14:paraId="65C8F88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危险废物的具体暂存、贮存和管理措施如下：</w:t>
            </w:r>
          </w:p>
          <w:p w14:paraId="04E2A4B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危险废物厂区暂存要求：根据</w:t>
            </w:r>
            <w:r>
              <w:rPr>
                <w:rFonts w:ascii="宋体" w:hAnsi="宋体" w:eastAsia="宋体" w:cs="宋体"/>
                <w:sz w:val="24"/>
                <w:szCs w:val="24"/>
              </w:rPr>
              <w:t>《中华人民共和国固体废物污染环境防治法》</w:t>
            </w:r>
            <w:r>
              <w:rPr>
                <w:rFonts w:hint="eastAsia"/>
                <w:color w:val="000000" w:themeColor="text1"/>
                <w:sz w:val="24"/>
                <w:szCs w:val="24"/>
                <w:highlight w:val="none"/>
                <w14:textFill>
                  <w14:solidFill>
                    <w14:schemeClr w14:val="tx1"/>
                  </w14:solidFill>
                </w14:textFill>
              </w:rPr>
              <w:t>规定要求，项目所产生的危险废物应按国家环保总局令第5号《危险废物转移联单管理办法》中五联单制度规定进行处理处置。根据国家《危险废物贮存污染控制标准》（GB18597-2001）中有关规定，危险废物在厂内存放期间，应使用完好无损容器盛装；用以存放装置液体、半固体危险废物容器的地方，必须有耐腐蚀的硬化地面，且表面无裂痕。严禁将固体废物、危险废物随意露天堆放，其收集桶或箱的存放场所要做重点防渗处理（具体防渗措施见地下水防控措施），防止污染地下水。</w:t>
            </w:r>
          </w:p>
          <w:p w14:paraId="48645F4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贮存：A、建立专用的危险废物贮存设施或专用贮存区域，做到危险废物分类收集、分区存放，并设置危险废物警示标志，严防被挪作他用；B、危险废物贮存区地面与裙脚要用坚固、防渗的材料建造，建筑材料必须与危险废物相容；用以存放装载液体、半固体危险废物容器的地方，必须有耐腐蚀的硬化地面，且表面无裂隙；C、危险废物分类贮存，采取有效隔离措施。</w:t>
            </w:r>
          </w:p>
          <w:p w14:paraId="15F531A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管理措施：A、制定危险废物管理制度；B、减少危险废物产生措施，推广清洁生产，避免或减少危险废物的产生；C、作好危险废物情况的记录，记录上须注明危险废物的名称、来源、数量、特性和包装容器的类别、入库日期、存放库位、废物出库日期及接收单位名称；D、定期对所贮存的危险废物包装容器及贮存设施进行检查，发现破损，及时采取措施清理更换；E、公司按照国家有关规定制定危险废物管理计划，并向当地环保行政主管部门申报危险废物的种类、生产量、流向、储存、处置等有关资料，如实记录企业生产的危险废物的种类、数量、利用、贮存、处置、流向等信息，与生产记录结合，建立危险废物台账，并依据台账做好危险废物的申报登记工作；F、产生危险废物的车间按照公司环境保护管理的相关规定对危险废物进行管理、贮存、利用、处置。</w:t>
            </w:r>
          </w:p>
          <w:p w14:paraId="776E73E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危废暂存间要求：</w:t>
            </w:r>
          </w:p>
          <w:p w14:paraId="7986187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A、危险废物储存容器底部设置防泄漏不锈钢托盘（托盘边缘高于托盘中部1~2cm），防止危废泄漏。</w:t>
            </w:r>
          </w:p>
          <w:p w14:paraId="0904255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B、危废暂存间要做好防渗措施，同时做好防风、防雨、防晒措施。</w:t>
            </w:r>
          </w:p>
          <w:p w14:paraId="6CA9E65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C、危废暂存间应设置明显的危险废物警示标识。</w:t>
            </w:r>
          </w:p>
          <w:p w14:paraId="22A75D1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D、暂存的危险废物定期交由有资质的单位进行清运，不做大量堆积，由专人对危废进行管理，危废物品要单独设置台账，按每工作日记录危废的产生、堆积、清运量，做到产消有记录，按责任制管，同时危险废物的移交严格执行危废联单制度，存储期间严格按照《危险废物贮存污染控制标准》（GB18597-2001）执行。</w:t>
            </w:r>
          </w:p>
          <w:p w14:paraId="5085FF5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危险废物运输要求：</w:t>
            </w:r>
          </w:p>
          <w:p w14:paraId="13145AE6">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①做好每次外运处置废弃物的运输登记、认真填写危险废物转移联单（每种废物填写一份联单），并加盖公司公章，经运输单位核实验收签字后，将联单第一联副联自留存档，将联单第二联交移出当地环境保护行政主管部门，第三联及其余各联交付运输单位，随危险废物转移运行。第四联交接收单位，第五联交接受地生态环境局。</w:t>
            </w:r>
          </w:p>
          <w:p w14:paraId="16884073">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②废弃物处置单位的运输人员必须掌握危险化学品运输的安全知识，了解所运载的危险化学品的性质、危害特性、包装容器的使用特性和发生意外时的应急措施。运输车辆必须具有车辆危险货物运输许可证。驾驶人员必须取得驾驶执照的熟练人员担任。</w:t>
            </w:r>
          </w:p>
          <w:p w14:paraId="32627DC7">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③处置单位在运输危险废物时，必须配备押运人员，并随时处于押运人员的监管之下，不得超载、超装，不得进入危险品运输车辆禁止通行的区域；确需进入禁止通行区域的，应当向地公安部门报告，由公安部门为其指定行车时间和路线，运输车辆必须遵守公安部门规定的行车时间和路线。</w:t>
            </w:r>
          </w:p>
          <w:p w14:paraId="5964CB3B">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④危险废物运输过程中若发生被盗、丢失、流散、泄露等情况时，公司及押人员必须立即向公安部门报告，并采取一切可能的警示措施。</w:t>
            </w:r>
          </w:p>
          <w:p w14:paraId="3538565B">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⑤一旦发生危险废物泄露事故，公司和危险废物处置单位都应积极协助有关部门采取必要的安全措施，减少事故损失，防止事故蔓延、扩大；针对事故对人体、动植物、土壤、水源空气造成的现实危害和可能产生的危害，应迅速采取封闭、隔离、洗消等措施，并对事故造成的危害进行监测、处置，直至符合国家环境保护标准。</w:t>
            </w:r>
          </w:p>
          <w:p w14:paraId="17B0CC62">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其他管理要求</w:t>
            </w:r>
            <w:r>
              <w:rPr>
                <w:rFonts w:hint="eastAsia"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w:t>
            </w:r>
          </w:p>
          <w:p w14:paraId="11C2C545">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加强技术人员的技能培训，严禁将危险废物直接外排。危险废物应建立危险废物贮存的台帐制度，危险废物出入实行联单制度，确保危险废物的不遗失。危险废物与一般固废应分别收集、暂存。</w:t>
            </w:r>
          </w:p>
          <w:p w14:paraId="012C06E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综上所述，本项目产生的各种固体废物均有合理可行处置去向，在厂内暂存时不会造成二次污染，不会对环境造成不利影响。</w:t>
            </w:r>
          </w:p>
          <w:p w14:paraId="4BE0E18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五、地下水、土壤影响及污染防治</w:t>
            </w:r>
          </w:p>
          <w:p w14:paraId="7FD9A47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本项目不向地下注水和排水，正常情况下不会对地下水造成污染影响。</w:t>
            </w:r>
          </w:p>
          <w:p w14:paraId="47D2C320">
            <w:pPr>
              <w:pStyle w:val="10"/>
              <w:keepNext w:val="0"/>
              <w:keepLines w:val="0"/>
              <w:pageBreakBefore w:val="0"/>
              <w:widowControl w:val="0"/>
              <w:numPr>
                <w:ilvl w:val="0"/>
                <w:numId w:val="5"/>
              </w:numPr>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源头控制措施</w:t>
            </w:r>
          </w:p>
          <w:p w14:paraId="3A7FC49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应根据国家现行相关规范加强环境管理，采取防止和降低污染物跑、冒、滴、漏的措施。正常运营过程中应加强机修过程中污染物跑、冒、滴、漏，同时应加强对防渗工程的检查，若发现防渗密封材料老化或损坏，应及时维修更换。</w:t>
            </w:r>
          </w:p>
          <w:p w14:paraId="5336735A">
            <w:pPr>
              <w:pStyle w:val="10"/>
              <w:keepNext w:val="0"/>
              <w:keepLines w:val="0"/>
              <w:pageBreakBefore w:val="0"/>
              <w:widowControl w:val="0"/>
              <w:numPr>
                <w:ilvl w:val="0"/>
                <w:numId w:val="5"/>
              </w:numPr>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分区防治措施</w:t>
            </w:r>
          </w:p>
          <w:p w14:paraId="46BBD8F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结合项目建设情况，项目营运期可能造成地下水和土壤污染的位置为危废暂存间，其污染物为废机油，通过泄漏或渗透污染地下水和土壤环境。</w:t>
            </w:r>
          </w:p>
          <w:p w14:paraId="40E1F9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结合项目实际情况，为防治项目营运期生产过程中对项目所在区域地下水、土壤环境产生影响，本着地下水、土壤污染防治措施和对策，坚持“源头控制、分区防控、污染监控、应急响应，重点突出饮用水水质安全”的原则，将项目厂区划分为重点防渗区、一般防渗区、简单防渗区，具体划分及防渗措施见下表：</w:t>
            </w:r>
          </w:p>
          <w:p w14:paraId="66521DDE">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-1</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7</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项目分区防渗一览表</w:t>
            </w:r>
          </w:p>
          <w:tbl>
            <w:tblPr>
              <w:tblStyle w:val="20"/>
              <w:tblW w:w="804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1197"/>
              <w:gridCol w:w="1967"/>
              <w:gridCol w:w="4010"/>
              <w:gridCol w:w="874"/>
            </w:tblGrid>
            <w:tr w14:paraId="50AEFD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3164" w:type="dxa"/>
                  <w:gridSpan w:val="2"/>
                  <w:tcBorders>
                    <w:tl2br w:val="nil"/>
                    <w:tr2bl w:val="nil"/>
                  </w:tcBorders>
                  <w:noWrap w:val="0"/>
                  <w:vAlign w:val="center"/>
                </w:tcPr>
                <w:p w14:paraId="6B04F731">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防渗分区</w:t>
                  </w:r>
                </w:p>
              </w:tc>
              <w:tc>
                <w:tcPr>
                  <w:tcW w:w="4010" w:type="dxa"/>
                  <w:tcBorders>
                    <w:tl2br w:val="nil"/>
                    <w:tr2bl w:val="nil"/>
                  </w:tcBorders>
                  <w:noWrap w:val="0"/>
                  <w:vAlign w:val="center"/>
                </w:tcPr>
                <w:p w14:paraId="36820793">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t>拟采取</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防渗措施</w:t>
                  </w:r>
                </w:p>
              </w:tc>
              <w:tc>
                <w:tcPr>
                  <w:tcW w:w="874" w:type="dxa"/>
                  <w:tcBorders>
                    <w:tl2br w:val="nil"/>
                    <w:tr2bl w:val="nil"/>
                  </w:tcBorders>
                  <w:noWrap w:val="0"/>
                  <w:vAlign w:val="center"/>
                </w:tcPr>
                <w:p w14:paraId="6C24E299">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是否满足要求</w:t>
                  </w:r>
                </w:p>
              </w:tc>
            </w:tr>
            <w:tr w14:paraId="7A5886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vMerge w:val="restart"/>
                  <w:tcBorders>
                    <w:tl2br w:val="nil"/>
                    <w:tr2bl w:val="nil"/>
                  </w:tcBorders>
                  <w:noWrap w:val="0"/>
                  <w:vAlign w:val="center"/>
                </w:tcPr>
                <w:p w14:paraId="220472E2">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重点防渗区</w:t>
                  </w:r>
                </w:p>
              </w:tc>
              <w:tc>
                <w:tcPr>
                  <w:tcW w:w="1967" w:type="dxa"/>
                  <w:tcBorders>
                    <w:tl2br w:val="nil"/>
                    <w:tr2bl w:val="nil"/>
                  </w:tcBorders>
                  <w:noWrap w:val="0"/>
                  <w:vAlign w:val="center"/>
                </w:tcPr>
                <w:p w14:paraId="1BDBFEA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危废暂存间</w:t>
                  </w:r>
                </w:p>
              </w:tc>
              <w:tc>
                <w:tcPr>
                  <w:tcW w:w="4010" w:type="dxa"/>
                  <w:tcBorders>
                    <w:tl2br w:val="nil"/>
                    <w:tr2bl w:val="nil"/>
                  </w:tcBorders>
                  <w:noWrap w:val="0"/>
                  <w:vAlign w:val="center"/>
                </w:tcPr>
                <w:p w14:paraId="219FDD9B">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抗渗混凝土+至少2mm的环氧树脂防渗面层防腐+不锈钢托盘</w:t>
                  </w:r>
                  <w: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确保达到等效黏土防渗层 Mb≥6m，K≤1.0×10</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-10</w:t>
                  </w:r>
                  <w:r>
                    <w:rPr>
                      <w:rFonts w:hint="default" w:ascii="Times New Roman" w:hAnsi="Times New Roman" w:eastAsia="宋体" w:cs="Times New Roman"/>
                      <w:color w:val="000000" w:themeColor="text1"/>
                      <w:sz w:val="21"/>
                      <w:szCs w:val="21"/>
                      <w:highlight w:val="none"/>
                      <w14:textFill>
                        <w14:solidFill>
                          <w14:schemeClr w14:val="tx1"/>
                        </w14:solidFill>
                      </w14:textFill>
                    </w:rPr>
                    <w:t>cm/s。</w:t>
                  </w:r>
                </w:p>
              </w:tc>
              <w:tc>
                <w:tcPr>
                  <w:tcW w:w="874" w:type="dxa"/>
                  <w:tcBorders>
                    <w:tl2br w:val="nil"/>
                    <w:tr2bl w:val="nil"/>
                  </w:tcBorders>
                  <w:noWrap w:val="0"/>
                  <w:vAlign w:val="center"/>
                </w:tcPr>
                <w:p w14:paraId="634AFA27">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470A6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vMerge w:val="continue"/>
                  <w:tcBorders>
                    <w:tl2br w:val="nil"/>
                    <w:tr2bl w:val="nil"/>
                  </w:tcBorders>
                  <w:noWrap w:val="0"/>
                  <w:vAlign w:val="center"/>
                </w:tcPr>
                <w:p w14:paraId="2F34EF49">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967" w:type="dxa"/>
                  <w:tcBorders>
                    <w:tl2br w:val="nil"/>
                    <w:tr2bl w:val="nil"/>
                  </w:tcBorders>
                  <w:noWrap w:val="0"/>
                  <w:vAlign w:val="center"/>
                </w:tcPr>
                <w:p w14:paraId="09BCB13B">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辅料库房（减水剂、脱模剂及机油堆放）</w:t>
                  </w:r>
                </w:p>
              </w:tc>
              <w:tc>
                <w:tcPr>
                  <w:tcW w:w="4010" w:type="dxa"/>
                  <w:tcBorders>
                    <w:tl2br w:val="nil"/>
                    <w:tr2bl w:val="nil"/>
                  </w:tcBorders>
                  <w:noWrap w:val="0"/>
                  <w:vAlign w:val="center"/>
                </w:tcPr>
                <w:p w14:paraId="6724B34D">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抗渗混凝土+至少2mm的环氧树脂防渗面层防腐</w:t>
                  </w:r>
                  <w: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确保达到等效黏土防渗层 Mb≥6m，K≤1.0×10</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14:textFill>
                        <w14:solidFill>
                          <w14:schemeClr w14:val="tx1"/>
                        </w14:solidFill>
                      </w14:textFill>
                    </w:rPr>
                    <w:t>cm/s。</w:t>
                  </w:r>
                </w:p>
              </w:tc>
              <w:tc>
                <w:tcPr>
                  <w:tcW w:w="874" w:type="dxa"/>
                  <w:tcBorders>
                    <w:tl2br w:val="nil"/>
                    <w:tr2bl w:val="nil"/>
                  </w:tcBorders>
                  <w:noWrap w:val="0"/>
                  <w:vAlign w:val="center"/>
                </w:tcPr>
                <w:p w14:paraId="2D03F3E5">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72BAF5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vMerge w:val="continue"/>
                  <w:tcBorders>
                    <w:tl2br w:val="nil"/>
                    <w:tr2bl w:val="nil"/>
                  </w:tcBorders>
                  <w:noWrap w:val="0"/>
                  <w:vAlign w:val="center"/>
                </w:tcPr>
                <w:p w14:paraId="37237FB0">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967" w:type="dxa"/>
                  <w:tcBorders>
                    <w:tl2br w:val="nil"/>
                    <w:tr2bl w:val="nil"/>
                  </w:tcBorders>
                  <w:noWrap w:val="0"/>
                  <w:vAlign w:val="center"/>
                </w:tcPr>
                <w:p w14:paraId="14B9E786">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隔油沉淀池</w:t>
                  </w:r>
                </w:p>
              </w:tc>
              <w:tc>
                <w:tcPr>
                  <w:tcW w:w="4010" w:type="dxa"/>
                  <w:tcBorders>
                    <w:tl2br w:val="nil"/>
                    <w:tr2bl w:val="nil"/>
                  </w:tcBorders>
                  <w:noWrap w:val="0"/>
                  <w:vAlign w:val="center"/>
                </w:tcPr>
                <w:p w14:paraId="6042404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防渗混凝土（15cmC30混凝土，抗渗等级P6）+</w:t>
                  </w:r>
                  <w:r>
                    <w:rPr>
                      <w:rFonts w:hint="default" w:ascii="Times New Roman" w:hAnsi="Times New Roman" w:eastAsia="宋体" w:cs="Times New Roman"/>
                      <w:color w:val="000000" w:themeColor="text1"/>
                      <w:sz w:val="21"/>
                      <w:szCs w:val="21"/>
                      <w:highlight w:val="none"/>
                      <w14:textFill>
                        <w14:solidFill>
                          <w14:schemeClr w14:val="tx1"/>
                        </w14:solidFill>
                      </w14:textFill>
                    </w:rPr>
                    <w:t>2mm厚HDPE（高密度聚乙烯膜）</w:t>
                  </w:r>
                  <w: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确保达到等效黏土防渗层 Mb≥6m，K≤1.0×10</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14:textFill>
                        <w14:solidFill>
                          <w14:schemeClr w14:val="tx1"/>
                        </w14:solidFill>
                      </w14:textFill>
                    </w:rPr>
                    <w:t>cm/s。</w:t>
                  </w:r>
                </w:p>
              </w:tc>
              <w:tc>
                <w:tcPr>
                  <w:tcW w:w="874" w:type="dxa"/>
                  <w:tcBorders>
                    <w:tl2br w:val="nil"/>
                    <w:tr2bl w:val="nil"/>
                  </w:tcBorders>
                  <w:noWrap w:val="0"/>
                  <w:vAlign w:val="center"/>
                </w:tcPr>
                <w:p w14:paraId="3BAD1717">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2E3227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tcBorders>
                    <w:tl2br w:val="nil"/>
                    <w:tr2bl w:val="nil"/>
                  </w:tcBorders>
                  <w:noWrap w:val="0"/>
                  <w:vAlign w:val="center"/>
                </w:tcPr>
                <w:p w14:paraId="61E7DE77">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一般防渗区</w:t>
                  </w:r>
                </w:p>
              </w:tc>
              <w:tc>
                <w:tcPr>
                  <w:tcW w:w="1967" w:type="dxa"/>
                  <w:tcBorders>
                    <w:tl2br w:val="nil"/>
                    <w:tr2bl w:val="nil"/>
                  </w:tcBorders>
                  <w:noWrap w:val="0"/>
                  <w:vAlign w:val="center"/>
                </w:tcPr>
                <w:p w14:paraId="4B807894">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生产区地面（拌合</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区、钢筋加工场、预制梁场</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）、沉淀水池、</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、雨水收集池底部以及四周</w:t>
                  </w:r>
                </w:p>
              </w:tc>
              <w:tc>
                <w:tcPr>
                  <w:tcW w:w="4010" w:type="dxa"/>
                  <w:tcBorders>
                    <w:tl2br w:val="nil"/>
                    <w:tr2bl w:val="nil"/>
                  </w:tcBorders>
                  <w:noWrap w:val="0"/>
                  <w:vAlign w:val="center"/>
                </w:tcPr>
                <w:p w14:paraId="4A8B4958">
                  <w:pPr>
                    <w:keepNext w:val="0"/>
                    <w:keepLines w:val="0"/>
                    <w:pageBreakBefore w:val="0"/>
                    <w:widowControl w:val="0"/>
                    <w:kinsoku/>
                    <w:wordWrap w:val="0"/>
                    <w:overflowPunct/>
                    <w:topLinePunct w:val="0"/>
                    <w:autoSpaceDE/>
                    <w:autoSpaceDN/>
                    <w:bidi w:val="0"/>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采取抗渗混凝土硬化处理，确保达到等效黏土防渗层 Mb≥1.5m，K≤</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1.0×10</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cm/s</w:t>
                  </w:r>
                </w:p>
              </w:tc>
              <w:tc>
                <w:tcPr>
                  <w:tcW w:w="874" w:type="dxa"/>
                  <w:tcBorders>
                    <w:tl2br w:val="nil"/>
                    <w:tr2bl w:val="nil"/>
                  </w:tcBorders>
                  <w:noWrap w:val="0"/>
                  <w:vAlign w:val="center"/>
                </w:tcPr>
                <w:p w14:paraId="0CBE65F5">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45B748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tcBorders>
                    <w:tl2br w:val="nil"/>
                    <w:tr2bl w:val="nil"/>
                  </w:tcBorders>
                  <w:noWrap w:val="0"/>
                  <w:vAlign w:val="center"/>
                </w:tcPr>
                <w:p w14:paraId="083F1E5A">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简单防渗区</w:t>
                  </w:r>
                </w:p>
              </w:tc>
              <w:tc>
                <w:tcPr>
                  <w:tcW w:w="1967" w:type="dxa"/>
                  <w:tcBorders>
                    <w:tl2br w:val="nil"/>
                    <w:tr2bl w:val="nil"/>
                  </w:tcBorders>
                  <w:noWrap w:val="0"/>
                  <w:vAlign w:val="center"/>
                </w:tcPr>
                <w:p w14:paraId="14892B49">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料仓地面、办公生活区域、厂内道路</w:t>
                  </w:r>
                </w:p>
              </w:tc>
              <w:tc>
                <w:tcPr>
                  <w:tcW w:w="4010" w:type="dxa"/>
                  <w:tcBorders>
                    <w:tl2br w:val="nil"/>
                    <w:tr2bl w:val="nil"/>
                  </w:tcBorders>
                  <w:noWrap w:val="0"/>
                  <w:vAlign w:val="center"/>
                </w:tcPr>
                <w:p w14:paraId="0B3C526B">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地面硬化处理</w:t>
                  </w:r>
                </w:p>
              </w:tc>
              <w:tc>
                <w:tcPr>
                  <w:tcW w:w="874" w:type="dxa"/>
                  <w:tcBorders>
                    <w:tl2br w:val="nil"/>
                    <w:tr2bl w:val="nil"/>
                  </w:tcBorders>
                  <w:noWrap w:val="0"/>
                  <w:vAlign w:val="center"/>
                </w:tcPr>
                <w:p w14:paraId="75526CC2">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457BC3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8048" w:type="dxa"/>
                  <w:gridSpan w:val="4"/>
                  <w:tcBorders>
                    <w:tl2br w:val="nil"/>
                    <w:tr2bl w:val="nil"/>
                  </w:tcBorders>
                  <w:noWrap w:val="0"/>
                  <w:vAlign w:val="center"/>
                </w:tcPr>
                <w:p w14:paraId="1F4AA15B">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注：各防渗分区的防渗结构，应由专业设计单位根据相关要求进行设计，但不应低于环评提出的防渗级别和要求。</w:t>
                  </w:r>
                </w:p>
              </w:tc>
            </w:tr>
          </w:tbl>
          <w:p w14:paraId="42235EE9">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综上所述，通过采取本次评价提出的分区防渗措施后，项目营运期对区域地下水环境和土壤环境影响较小。</w:t>
            </w:r>
          </w:p>
          <w:p w14:paraId="0822B65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六</w:t>
            </w:r>
            <w:r>
              <w:rPr>
                <w:rFonts w:hint="eastAsia"/>
                <w:b/>
                <w:bCs/>
                <w:color w:val="000000" w:themeColor="text1"/>
                <w:sz w:val="24"/>
                <w:szCs w:val="24"/>
                <w:highlight w:val="none"/>
                <w14:textFill>
                  <w14:solidFill>
                    <w14:schemeClr w14:val="tx1"/>
                  </w14:solidFill>
                </w14:textFill>
              </w:rPr>
              <w:t>、环境风险分析</w:t>
            </w:r>
          </w:p>
          <w:p w14:paraId="7F671F3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环境风险是指突发性事故对环境（或健康）的危害程度。建设项目环境风险评价主要是对建设项目建设和运营期间发生的可预测突发性事件或事故（一般不包括人为破坏及自然灾害）引起有毒有害、易燃易爆等物质泄漏，或突发事件产生的新的有毒有害物质，所造成的对人身安全与环境的影响和损害，进行评估，提出防范、应急与减缓措施，以使建设项目事故率、损失和环境影响达到可接受水平。</w:t>
            </w:r>
          </w:p>
          <w:p w14:paraId="50BB1B2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1、风险调查</w:t>
            </w:r>
          </w:p>
          <w:p w14:paraId="56E8E77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①废水事故排放：由于本项目废水沉淀池破损或垮塌导致废水溢流直接外排，进入周边地表水体，造成污染事故。</w:t>
            </w:r>
          </w:p>
          <w:p w14:paraId="7592DAE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②环保设施等故障而造成的粉尘超标排放。</w:t>
            </w:r>
          </w:p>
          <w:p w14:paraId="46F56F1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w:t>
            </w:r>
            <w:r>
              <w:rPr>
                <w:rFonts w:hint="eastAsia"/>
                <w:color w:val="000000" w:themeColor="text1"/>
                <w:sz w:val="24"/>
                <w:szCs w:val="24"/>
                <w:highlight w:val="none"/>
                <w:lang w:eastAsia="zh-CN"/>
                <w14:textFill>
                  <w14:solidFill>
                    <w14:schemeClr w14:val="tx1"/>
                  </w14:solidFill>
                </w14:textFill>
              </w:rPr>
              <w:t>润滑油、废润滑油及外加剂</w:t>
            </w:r>
            <w:r>
              <w:rPr>
                <w:rFonts w:hint="eastAsia"/>
                <w:color w:val="000000" w:themeColor="text1"/>
                <w:sz w:val="24"/>
                <w:szCs w:val="24"/>
                <w:highlight w:val="none"/>
                <w14:textFill>
                  <w14:solidFill>
                    <w14:schemeClr w14:val="tx1"/>
                  </w14:solidFill>
                </w14:textFill>
              </w:rPr>
              <w:t>泄露，造成土壤、地下水等污染。</w:t>
            </w:r>
          </w:p>
          <w:p w14:paraId="37AD20DF">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-1</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8</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生产设施危险识别表</w:t>
            </w:r>
          </w:p>
          <w:tbl>
            <w:tblPr>
              <w:tblStyle w:val="20"/>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24"/>
              <w:gridCol w:w="1162"/>
              <w:gridCol w:w="956"/>
              <w:gridCol w:w="1294"/>
              <w:gridCol w:w="1313"/>
              <w:gridCol w:w="1415"/>
              <w:gridCol w:w="1272"/>
            </w:tblGrid>
            <w:tr w14:paraId="0190FF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60538A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序号</w:t>
                  </w:r>
                </w:p>
              </w:tc>
              <w:tc>
                <w:tcPr>
                  <w:tcW w:w="732" w:type="pct"/>
                  <w:tcBorders>
                    <w:tl2br w:val="nil"/>
                    <w:tr2bl w:val="nil"/>
                  </w:tcBorders>
                  <w:vAlign w:val="center"/>
                </w:tcPr>
                <w:p w14:paraId="3F49E0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危险单元</w:t>
                  </w:r>
                </w:p>
              </w:tc>
              <w:tc>
                <w:tcPr>
                  <w:tcW w:w="602" w:type="pct"/>
                  <w:tcBorders>
                    <w:tl2br w:val="nil"/>
                    <w:tr2bl w:val="nil"/>
                  </w:tcBorders>
                  <w:vAlign w:val="center"/>
                </w:tcPr>
                <w:p w14:paraId="069AB8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风险源</w:t>
                  </w:r>
                </w:p>
              </w:tc>
              <w:tc>
                <w:tcPr>
                  <w:tcW w:w="815" w:type="pct"/>
                  <w:tcBorders>
                    <w:tl2br w:val="nil"/>
                    <w:tr2bl w:val="nil"/>
                  </w:tcBorders>
                  <w:vAlign w:val="center"/>
                </w:tcPr>
                <w:p w14:paraId="6BDE51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主要风险物质</w:t>
                  </w:r>
                </w:p>
              </w:tc>
              <w:tc>
                <w:tcPr>
                  <w:tcW w:w="827" w:type="pct"/>
                  <w:tcBorders>
                    <w:tl2br w:val="nil"/>
                    <w:tr2bl w:val="nil"/>
                  </w:tcBorders>
                  <w:vAlign w:val="center"/>
                </w:tcPr>
                <w:p w14:paraId="482A881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环境风险类型</w:t>
                  </w:r>
                </w:p>
              </w:tc>
              <w:tc>
                <w:tcPr>
                  <w:tcW w:w="891" w:type="pct"/>
                  <w:tcBorders>
                    <w:tl2br w:val="nil"/>
                    <w:tr2bl w:val="nil"/>
                  </w:tcBorders>
                  <w:vAlign w:val="center"/>
                </w:tcPr>
                <w:p w14:paraId="6E9F40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环境影响途径</w:t>
                  </w:r>
                </w:p>
              </w:tc>
              <w:tc>
                <w:tcPr>
                  <w:tcW w:w="801" w:type="pct"/>
                  <w:tcBorders>
                    <w:tl2br w:val="nil"/>
                    <w:tr2bl w:val="nil"/>
                  </w:tcBorders>
                  <w:vAlign w:val="center"/>
                </w:tcPr>
                <w:p w14:paraId="0BEC73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风险物质储量</w:t>
                  </w:r>
                </w:p>
              </w:tc>
            </w:tr>
            <w:tr w14:paraId="4FD3C3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4A5296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w:t>
                  </w:r>
                </w:p>
              </w:tc>
              <w:tc>
                <w:tcPr>
                  <w:tcW w:w="732" w:type="pct"/>
                  <w:tcBorders>
                    <w:tl2br w:val="nil"/>
                    <w:tr2bl w:val="nil"/>
                  </w:tcBorders>
                  <w:vAlign w:val="center"/>
                </w:tcPr>
                <w:p w14:paraId="07A4D2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沉淀池/废水处理设施</w:t>
                  </w:r>
                </w:p>
              </w:tc>
              <w:tc>
                <w:tcPr>
                  <w:tcW w:w="602" w:type="pct"/>
                  <w:tcBorders>
                    <w:tl2br w:val="nil"/>
                    <w:tr2bl w:val="nil"/>
                  </w:tcBorders>
                  <w:vAlign w:val="center"/>
                </w:tcPr>
                <w:p w14:paraId="3851B6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废水</w:t>
                  </w:r>
                </w:p>
              </w:tc>
              <w:tc>
                <w:tcPr>
                  <w:tcW w:w="815" w:type="pct"/>
                  <w:tcBorders>
                    <w:tl2br w:val="nil"/>
                    <w:tr2bl w:val="nil"/>
                  </w:tcBorders>
                  <w:vAlign w:val="center"/>
                </w:tcPr>
                <w:p w14:paraId="7F4C1F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SS</w:t>
                  </w:r>
                </w:p>
              </w:tc>
              <w:tc>
                <w:tcPr>
                  <w:tcW w:w="827" w:type="pct"/>
                  <w:tcBorders>
                    <w:tl2br w:val="nil"/>
                    <w:tr2bl w:val="nil"/>
                  </w:tcBorders>
                  <w:vAlign w:val="center"/>
                </w:tcPr>
                <w:p w14:paraId="28F702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超标排放</w:t>
                  </w:r>
                </w:p>
              </w:tc>
              <w:tc>
                <w:tcPr>
                  <w:tcW w:w="891" w:type="pct"/>
                  <w:tcBorders>
                    <w:tl2br w:val="nil"/>
                    <w:tr2bl w:val="nil"/>
                  </w:tcBorders>
                  <w:vAlign w:val="center"/>
                </w:tcPr>
                <w:p w14:paraId="54A381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破损、坍塌引起废水超标排放</w:t>
                  </w:r>
                </w:p>
              </w:tc>
              <w:tc>
                <w:tcPr>
                  <w:tcW w:w="801" w:type="pct"/>
                  <w:tcBorders>
                    <w:tl2br w:val="nil"/>
                    <w:tr2bl w:val="nil"/>
                  </w:tcBorders>
                  <w:vAlign w:val="center"/>
                </w:tcPr>
                <w:p w14:paraId="736F73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6730A3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6AE368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w:t>
                  </w:r>
                </w:p>
              </w:tc>
              <w:tc>
                <w:tcPr>
                  <w:tcW w:w="732" w:type="pct"/>
                  <w:tcBorders>
                    <w:tl2br w:val="nil"/>
                    <w:tr2bl w:val="nil"/>
                  </w:tcBorders>
                  <w:vAlign w:val="center"/>
                </w:tcPr>
                <w:p w14:paraId="67702D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筒仓除尘器</w:t>
                  </w:r>
                </w:p>
              </w:tc>
              <w:tc>
                <w:tcPr>
                  <w:tcW w:w="602" w:type="pct"/>
                  <w:vMerge w:val="restart"/>
                  <w:tcBorders>
                    <w:tl2br w:val="nil"/>
                    <w:tr2bl w:val="nil"/>
                  </w:tcBorders>
                  <w:vAlign w:val="center"/>
                </w:tcPr>
                <w:p w14:paraId="56F6B1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p>
              </w:tc>
              <w:tc>
                <w:tcPr>
                  <w:tcW w:w="815" w:type="pct"/>
                  <w:vMerge w:val="restart"/>
                  <w:tcBorders>
                    <w:tl2br w:val="nil"/>
                    <w:tr2bl w:val="nil"/>
                  </w:tcBorders>
                  <w:vAlign w:val="center"/>
                </w:tcPr>
                <w:p w14:paraId="09D4374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颗粒物</w:t>
                  </w:r>
                </w:p>
              </w:tc>
              <w:tc>
                <w:tcPr>
                  <w:tcW w:w="827" w:type="pct"/>
                  <w:vMerge w:val="restart"/>
                  <w:tcBorders>
                    <w:tl2br w:val="nil"/>
                    <w:tr2bl w:val="nil"/>
                  </w:tcBorders>
                  <w:vAlign w:val="center"/>
                </w:tcPr>
                <w:p w14:paraId="674770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超标排放</w:t>
                  </w:r>
                </w:p>
              </w:tc>
              <w:tc>
                <w:tcPr>
                  <w:tcW w:w="891" w:type="pct"/>
                  <w:vMerge w:val="restart"/>
                  <w:tcBorders>
                    <w:tl2br w:val="nil"/>
                    <w:tr2bl w:val="nil"/>
                  </w:tcBorders>
                  <w:vAlign w:val="center"/>
                </w:tcPr>
                <w:p w14:paraId="674F0E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废气处理设施故障，废气超标排放</w:t>
                  </w:r>
                </w:p>
              </w:tc>
              <w:tc>
                <w:tcPr>
                  <w:tcW w:w="801" w:type="pct"/>
                  <w:tcBorders>
                    <w:tl2br w:val="nil"/>
                    <w:tr2bl w:val="nil"/>
                  </w:tcBorders>
                  <w:vAlign w:val="center"/>
                </w:tcPr>
                <w:p w14:paraId="1AB4AA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01578F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467133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w:t>
                  </w:r>
                </w:p>
              </w:tc>
              <w:tc>
                <w:tcPr>
                  <w:tcW w:w="732" w:type="pct"/>
                  <w:tcBorders>
                    <w:tl2br w:val="nil"/>
                    <w:tr2bl w:val="nil"/>
                  </w:tcBorders>
                  <w:vAlign w:val="center"/>
                </w:tcPr>
                <w:p w14:paraId="3571491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布袋除尘器</w:t>
                  </w:r>
                </w:p>
              </w:tc>
              <w:tc>
                <w:tcPr>
                  <w:tcW w:w="602" w:type="pct"/>
                  <w:vMerge w:val="continue"/>
                  <w:tcBorders>
                    <w:tl2br w:val="nil"/>
                    <w:tr2bl w:val="nil"/>
                  </w:tcBorders>
                  <w:vAlign w:val="center"/>
                </w:tcPr>
                <w:p w14:paraId="78F605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15" w:type="pct"/>
                  <w:vMerge w:val="continue"/>
                  <w:tcBorders>
                    <w:tl2br w:val="nil"/>
                    <w:tr2bl w:val="nil"/>
                  </w:tcBorders>
                  <w:vAlign w:val="center"/>
                </w:tcPr>
                <w:p w14:paraId="269D59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27" w:type="pct"/>
                  <w:vMerge w:val="continue"/>
                  <w:tcBorders>
                    <w:tl2br w:val="nil"/>
                    <w:tr2bl w:val="nil"/>
                  </w:tcBorders>
                  <w:vAlign w:val="center"/>
                </w:tcPr>
                <w:p w14:paraId="37F5D5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91" w:type="pct"/>
                  <w:vMerge w:val="continue"/>
                  <w:tcBorders>
                    <w:tl2br w:val="nil"/>
                    <w:tr2bl w:val="nil"/>
                  </w:tcBorders>
                  <w:vAlign w:val="center"/>
                </w:tcPr>
                <w:p w14:paraId="69CCD1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01" w:type="pct"/>
                  <w:tcBorders>
                    <w:tl2br w:val="nil"/>
                    <w:tr2bl w:val="nil"/>
                  </w:tcBorders>
                  <w:vAlign w:val="center"/>
                </w:tcPr>
                <w:p w14:paraId="54ABDE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7A6F23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vMerge w:val="restart"/>
                  <w:tcBorders>
                    <w:tl2br w:val="nil"/>
                    <w:tr2bl w:val="nil"/>
                  </w:tcBorders>
                  <w:vAlign w:val="center"/>
                </w:tcPr>
                <w:p w14:paraId="3901D2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4</w:t>
                  </w:r>
                </w:p>
              </w:tc>
              <w:tc>
                <w:tcPr>
                  <w:tcW w:w="732" w:type="pct"/>
                  <w:tcBorders>
                    <w:tl2br w:val="nil"/>
                    <w:tr2bl w:val="nil"/>
                  </w:tcBorders>
                  <w:vAlign w:val="center"/>
                </w:tcPr>
                <w:p w14:paraId="0483A4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危废暂存间</w:t>
                  </w:r>
                </w:p>
              </w:tc>
              <w:tc>
                <w:tcPr>
                  <w:tcW w:w="602" w:type="pct"/>
                  <w:tcBorders>
                    <w:tl2br w:val="nil"/>
                    <w:tr2bl w:val="nil"/>
                  </w:tcBorders>
                  <w:vAlign w:val="center"/>
                </w:tcPr>
                <w:p w14:paraId="36C365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危险废物</w:t>
                  </w:r>
                </w:p>
              </w:tc>
              <w:tc>
                <w:tcPr>
                  <w:tcW w:w="815" w:type="pct"/>
                  <w:tcBorders>
                    <w:tl2br w:val="nil"/>
                    <w:tr2bl w:val="nil"/>
                  </w:tcBorders>
                  <w:vAlign w:val="center"/>
                </w:tcPr>
                <w:p w14:paraId="4A1069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油类物质</w:t>
                  </w:r>
                </w:p>
              </w:tc>
              <w:tc>
                <w:tcPr>
                  <w:tcW w:w="827" w:type="pct"/>
                  <w:tcBorders>
                    <w:tl2br w:val="nil"/>
                    <w:tr2bl w:val="nil"/>
                  </w:tcBorders>
                  <w:vAlign w:val="center"/>
                </w:tcPr>
                <w:p w14:paraId="04B94B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有毒</w:t>
                  </w:r>
                </w:p>
              </w:tc>
              <w:tc>
                <w:tcPr>
                  <w:tcW w:w="891" w:type="pct"/>
                  <w:tcBorders>
                    <w:tl2br w:val="nil"/>
                    <w:tr2bl w:val="nil"/>
                  </w:tcBorders>
                  <w:vAlign w:val="center"/>
                </w:tcPr>
                <w:p w14:paraId="060413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管理不当引起火灾、存储不当泄露污染土壤</w:t>
                  </w:r>
                </w:p>
              </w:tc>
              <w:tc>
                <w:tcPr>
                  <w:tcW w:w="801" w:type="pct"/>
                  <w:tcBorders>
                    <w:tl2br w:val="nil"/>
                    <w:tr2bl w:val="nil"/>
                  </w:tcBorders>
                  <w:vAlign w:val="center"/>
                </w:tcPr>
                <w:p w14:paraId="7AD8DC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0.5t/a</w:t>
                  </w:r>
                </w:p>
              </w:tc>
            </w:tr>
            <w:tr w14:paraId="5CCB46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vMerge w:val="continue"/>
                  <w:tcBorders>
                    <w:tl2br w:val="nil"/>
                    <w:tr2bl w:val="nil"/>
                  </w:tcBorders>
                  <w:vAlign w:val="center"/>
                </w:tcPr>
                <w:p w14:paraId="7FB26A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732" w:type="pct"/>
                  <w:vMerge w:val="restart"/>
                  <w:tcBorders>
                    <w:tl2br w:val="nil"/>
                    <w:tr2bl w:val="nil"/>
                  </w:tcBorders>
                  <w:vAlign w:val="center"/>
                </w:tcPr>
                <w:p w14:paraId="1C4DFC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库房</w:t>
                  </w:r>
                </w:p>
              </w:tc>
              <w:tc>
                <w:tcPr>
                  <w:tcW w:w="602" w:type="pct"/>
                  <w:tcBorders>
                    <w:tl2br w:val="nil"/>
                    <w:tr2bl w:val="nil"/>
                  </w:tcBorders>
                  <w:vAlign w:val="center"/>
                </w:tcPr>
                <w:p w14:paraId="020F13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润滑油</w:t>
                  </w:r>
                </w:p>
              </w:tc>
              <w:tc>
                <w:tcPr>
                  <w:tcW w:w="815" w:type="pct"/>
                  <w:tcBorders>
                    <w:tl2br w:val="nil"/>
                    <w:tr2bl w:val="nil"/>
                  </w:tcBorders>
                  <w:vAlign w:val="center"/>
                </w:tcPr>
                <w:p w14:paraId="7BFB41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油类物质</w:t>
                  </w:r>
                </w:p>
              </w:tc>
              <w:tc>
                <w:tcPr>
                  <w:tcW w:w="827" w:type="pct"/>
                  <w:tcBorders>
                    <w:tl2br w:val="nil"/>
                    <w:tr2bl w:val="nil"/>
                  </w:tcBorders>
                  <w:vAlign w:val="center"/>
                </w:tcPr>
                <w:p w14:paraId="3F2FD5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有毒</w:t>
                  </w:r>
                </w:p>
              </w:tc>
              <w:tc>
                <w:tcPr>
                  <w:tcW w:w="891" w:type="pct"/>
                  <w:tcBorders>
                    <w:tl2br w:val="nil"/>
                    <w:tr2bl w:val="nil"/>
                  </w:tcBorders>
                  <w:vAlign w:val="center"/>
                </w:tcPr>
                <w:p w14:paraId="11657D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管理不当引起火灾、存储不当泄露污染土壤</w:t>
                  </w:r>
                </w:p>
              </w:tc>
              <w:tc>
                <w:tcPr>
                  <w:tcW w:w="801" w:type="pct"/>
                  <w:tcBorders>
                    <w:tl2br w:val="nil"/>
                    <w:tr2bl w:val="nil"/>
                  </w:tcBorders>
                  <w:vAlign w:val="center"/>
                </w:tcPr>
                <w:p w14:paraId="227EC1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0.5t/a</w:t>
                  </w:r>
                </w:p>
              </w:tc>
            </w:tr>
            <w:tr w14:paraId="372699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vMerge w:val="continue"/>
                  <w:tcBorders>
                    <w:tl2br w:val="nil"/>
                    <w:tr2bl w:val="nil"/>
                  </w:tcBorders>
                  <w:vAlign w:val="center"/>
                </w:tcPr>
                <w:p w14:paraId="72D3AE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732" w:type="pct"/>
                  <w:vMerge w:val="continue"/>
                  <w:tcBorders>
                    <w:tl2br w:val="nil"/>
                    <w:tr2bl w:val="nil"/>
                  </w:tcBorders>
                  <w:vAlign w:val="center"/>
                </w:tcPr>
                <w:p w14:paraId="27C352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p>
              </w:tc>
              <w:tc>
                <w:tcPr>
                  <w:tcW w:w="602" w:type="pct"/>
                  <w:tcBorders>
                    <w:tl2br w:val="nil"/>
                    <w:tr2bl w:val="nil"/>
                  </w:tcBorders>
                  <w:vAlign w:val="center"/>
                </w:tcPr>
                <w:p w14:paraId="23CE40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外加剂</w:t>
                  </w:r>
                </w:p>
              </w:tc>
              <w:tc>
                <w:tcPr>
                  <w:tcW w:w="815" w:type="pct"/>
                  <w:tcBorders>
                    <w:tl2br w:val="nil"/>
                    <w:tr2bl w:val="nil"/>
                  </w:tcBorders>
                  <w:vAlign w:val="center"/>
                </w:tcPr>
                <w:p w14:paraId="6AED431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萘磺酸盐甲醛缩合物等</w:t>
                  </w:r>
                </w:p>
              </w:tc>
              <w:tc>
                <w:tcPr>
                  <w:tcW w:w="827" w:type="pct"/>
                  <w:tcBorders>
                    <w:tl2br w:val="nil"/>
                    <w:tr2bl w:val="nil"/>
                  </w:tcBorders>
                  <w:vAlign w:val="center"/>
                </w:tcPr>
                <w:p w14:paraId="44AE9D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c>
                <w:tcPr>
                  <w:tcW w:w="891" w:type="pct"/>
                  <w:tcBorders>
                    <w:tl2br w:val="nil"/>
                    <w:tr2bl w:val="nil"/>
                  </w:tcBorders>
                  <w:vAlign w:val="center"/>
                </w:tcPr>
                <w:p w14:paraId="52238D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管理不当存储不当泄露污染土壤</w:t>
                  </w:r>
                </w:p>
              </w:tc>
              <w:tc>
                <w:tcPr>
                  <w:tcW w:w="801" w:type="pct"/>
                  <w:tcBorders>
                    <w:tl2br w:val="nil"/>
                    <w:tr2bl w:val="nil"/>
                  </w:tcBorders>
                  <w:vAlign w:val="center"/>
                </w:tcPr>
                <w:p w14:paraId="5897DF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10t</w:t>
                  </w:r>
                </w:p>
              </w:tc>
            </w:tr>
          </w:tbl>
          <w:p w14:paraId="208EAAB4">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2、环境风险识别</w:t>
            </w:r>
          </w:p>
          <w:p w14:paraId="008C378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风险识别范围包括生产设施风险识别、生产过程所涉及的物质风险识别、受影响的环境因素识别。</w:t>
            </w:r>
          </w:p>
          <w:p w14:paraId="59AF73A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物质危险性识别：根据《危险化学品重大危险源辨识》（GB18218-2018），本项目未涉及危险化学品的使用。</w:t>
            </w:r>
          </w:p>
          <w:p w14:paraId="6AB6705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项目可能存在的环境风险为</w:t>
            </w:r>
            <w:r>
              <w:rPr>
                <w:rFonts w:hint="eastAsia"/>
                <w:color w:val="000000" w:themeColor="text1"/>
                <w:sz w:val="24"/>
                <w:szCs w:val="24"/>
                <w:highlight w:val="none"/>
                <w:lang w:eastAsia="zh-CN"/>
                <w14:textFill>
                  <w14:solidFill>
                    <w14:schemeClr w14:val="tx1"/>
                  </w14:solidFill>
                </w14:textFill>
              </w:rPr>
              <w:t>润滑油、废润滑油及外加剂泄露</w:t>
            </w:r>
            <w:r>
              <w:rPr>
                <w:rFonts w:hint="eastAsia"/>
                <w:color w:val="000000" w:themeColor="text1"/>
                <w:sz w:val="24"/>
                <w:szCs w:val="24"/>
                <w:highlight w:val="none"/>
                <w14:textFill>
                  <w14:solidFill>
                    <w14:schemeClr w14:val="tx1"/>
                  </w14:solidFill>
                </w14:textFill>
              </w:rPr>
              <w:t>、下渗以及沉淀池破损造成废水事故排放、粉料罐除尘器损坏造成废气事故排放等。</w:t>
            </w:r>
          </w:p>
          <w:p w14:paraId="1B5B179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3、风险防范措施</w:t>
            </w:r>
          </w:p>
          <w:p w14:paraId="68E7B53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（1）危废储存风险防范措施</w:t>
            </w:r>
          </w:p>
          <w:p w14:paraId="01D0084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①设置国家标准要求的危废间标识标牌，并按国家规定标准控制不同单位面积最大贮存限量；环评要求建设单位应结合项目正常生产需求，尽量减少厂内废机油储存量；</w:t>
            </w:r>
          </w:p>
          <w:p w14:paraId="71C876D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②危险废物妥善收集，临时堆存时间不得过长，堆存量不得超过规定要求，以防造成渗漏等二次污染或安全事故。按照安全生产规范暂存危废，避免或减轻由安全事故引发的环境风险；</w:t>
            </w:r>
          </w:p>
          <w:p w14:paraId="577C770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③危废暂存间应做好防渗、漏措施，除地面基础防渗外，还应在房间内设置防渗托盘，并设置空桶作为备用收容设施。</w:t>
            </w:r>
          </w:p>
          <w:p w14:paraId="40307A0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④加强日常进出台账；严格管理，操作正确，加强日常检查，正常情况下，可以避免发生溢出和泄漏事故。</w:t>
            </w:r>
          </w:p>
          <w:p w14:paraId="717FA30E">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废水泄露防范措施</w:t>
            </w:r>
          </w:p>
          <w:p w14:paraId="1824599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①定期巡查沉淀池，若发现破损，应立即补漏、防堵。</w:t>
            </w:r>
          </w:p>
          <w:p w14:paraId="6177E21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②人员在工作中严格按照操作规范、规程，降低风险事故发生的概率。</w:t>
            </w:r>
          </w:p>
          <w:p w14:paraId="1C8E313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③安排专人负责废水处理系统，记录相关废水产生及处理情况。</w:t>
            </w:r>
          </w:p>
          <w:p w14:paraId="1EC65EFC">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3</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废气风险防范措施</w:t>
            </w:r>
          </w:p>
          <w:p w14:paraId="688CFDA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①当粉尘处理装置出现异常应立即检查，停止生产。</w:t>
            </w:r>
          </w:p>
          <w:p w14:paraId="554BF72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②严格控制设备质量，袋式除尘器必须严格把好质量关，并定期检验、检测、保养、维修。</w:t>
            </w:r>
          </w:p>
          <w:p w14:paraId="2AA56A4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）物料堆存风险防范措施</w:t>
            </w:r>
          </w:p>
          <w:p w14:paraId="2EC9B3F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①</w:t>
            </w:r>
            <w:r>
              <w:rPr>
                <w:rFonts w:hint="eastAsia"/>
                <w:color w:val="000000" w:themeColor="text1"/>
                <w:sz w:val="24"/>
                <w:szCs w:val="24"/>
                <w:highlight w:val="none"/>
                <w14:textFill>
                  <w14:solidFill>
                    <w14:schemeClr w14:val="tx1"/>
                  </w14:solidFill>
                </w14:textFill>
              </w:rPr>
              <w:t>临时堆存时间不得过长，做好防渗、漏措施，除地面基础防渗外，还应在房间内设置防渗托盘，并设置空桶作为备用收容设施。</w:t>
            </w:r>
          </w:p>
          <w:p w14:paraId="33F4730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w:t>
            </w:r>
            <w:r>
              <w:rPr>
                <w:rFonts w:hint="eastAsia"/>
                <w:color w:val="000000" w:themeColor="text1"/>
                <w:sz w:val="24"/>
                <w:szCs w:val="24"/>
                <w:highlight w:val="none"/>
                <w14:textFill>
                  <w14:solidFill>
                    <w14:schemeClr w14:val="tx1"/>
                  </w14:solidFill>
                </w14:textFill>
              </w:rPr>
              <w:t>加强日常进出台账；严格管理，操作正确，加强日常检查，正常情况下，可以避免发生溢出和泄漏事故。</w:t>
            </w:r>
          </w:p>
          <w:p w14:paraId="1CB4344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0" w:firstLineChars="0"/>
              <w:textAlignment w:val="auto"/>
              <w:rPr>
                <w:rFonts w:hint="eastAsia"/>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七、环境管理</w:t>
            </w:r>
          </w:p>
          <w:p w14:paraId="65BF100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1、环保管理的目的</w:t>
            </w:r>
          </w:p>
          <w:p w14:paraId="6A2C29E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本项目无论建设期或运行期均会对临近环境产生一定的影响，必须通过环境措施来减缓和消除不利的环境影响。为了保证环保措施的切实落实，使项目的社会、经济和环境效益得以协调发展，必须加强环境管理，使项目建设符合国家要求经济建设、社会发展和环境建设的同步规划、同步发展和同步实施的方针。</w:t>
            </w:r>
          </w:p>
          <w:p w14:paraId="2E088BF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2、环保机构设置及职责</w:t>
            </w:r>
          </w:p>
          <w:p w14:paraId="0C8B6A2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为使企业投入的环保设施能正常发挥作用，对其进行科学有效的管理，企业设置一名环保专职人员负责日常环保管理工作，具体职责如下：</w:t>
            </w:r>
          </w:p>
          <w:p w14:paraId="62F7F15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 xml:space="preserve">①组织制定环保管理、年度实施计划和远期环保规划，并负责监督贯彻执行； </w:t>
            </w:r>
          </w:p>
          <w:p w14:paraId="0D938F9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②组织宣传贯彻国家环保方针政策、进行员工环保知识教育；</w:t>
            </w:r>
          </w:p>
          <w:p w14:paraId="66A2F7D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③制定出环境污染事故的防范、应急措施；</w:t>
            </w:r>
          </w:p>
          <w:p w14:paraId="54831BB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④定期对全厂各环保设施运行情况进行全面检查；</w:t>
            </w:r>
          </w:p>
          <w:p w14:paraId="767060B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⑤强化对环保设施运行的监督，加强对环保设施操作人员的技术培训和管理、建立环保设施运行、维护、维修等技术档案，确保环保设施处于正常运行情况，污染物排放连续达标。</w:t>
            </w:r>
          </w:p>
          <w:p w14:paraId="1DAD3FC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3、环境管理要求</w:t>
            </w:r>
          </w:p>
          <w:p w14:paraId="522BA70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①按“三同时”原则，各项环境治理设施须与主体工程同时设计，同时施工、同时投入使用；</w:t>
            </w:r>
          </w:p>
          <w:p w14:paraId="14CE459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②建立环保机构并配备相应人员；</w:t>
            </w:r>
          </w:p>
          <w:p w14:paraId="43FA322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③建议企业保持厂区道路畅通，及时清扫路面杂物，遇到连续的晴好天气又起风的情况下，对路面可采取酒水方式减少尘量。</w:t>
            </w:r>
          </w:p>
          <w:p w14:paraId="456DA9E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企业环境保护责任人应充分发挥企业赋予的权力，认真履行相应职责，关心并积极听取可能受项目影响的附近居民的反映，定期向当地环保部门汇报项目环境保护工作的情况，同时接受当地环境保护部门的监督和管理。</w:t>
            </w:r>
          </w:p>
          <w:p w14:paraId="3A02AB1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八</w:t>
            </w:r>
            <w:r>
              <w:rPr>
                <w:rFonts w:hint="eastAsia"/>
                <w:b/>
                <w:bCs/>
                <w:color w:val="000000" w:themeColor="text1"/>
                <w:sz w:val="24"/>
                <w:szCs w:val="24"/>
                <w:highlight w:val="none"/>
                <w14:textFill>
                  <w14:solidFill>
                    <w14:schemeClr w14:val="tx1"/>
                  </w14:solidFill>
                </w14:textFill>
              </w:rPr>
              <w:t>、环保投资</w:t>
            </w:r>
          </w:p>
          <w:p w14:paraId="36F49C7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本项目总投资9</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14:textFill>
                  <w14:solidFill>
                    <w14:schemeClr w14:val="tx1"/>
                  </w14:solidFill>
                </w14:textFill>
              </w:rPr>
              <w:t>0万元，其中环保设施投资</w:t>
            </w:r>
            <w:r>
              <w:rPr>
                <w:rFonts w:hint="eastAsia"/>
                <w:color w:val="000000" w:themeColor="text1"/>
                <w:sz w:val="24"/>
                <w:szCs w:val="24"/>
                <w:highlight w:val="none"/>
                <w:lang w:val="en-US" w:eastAsia="zh-CN"/>
                <w14:textFill>
                  <w14:solidFill>
                    <w14:schemeClr w14:val="tx1"/>
                  </w14:solidFill>
                </w14:textFill>
              </w:rPr>
              <w:t>90.4</w:t>
            </w:r>
            <w:r>
              <w:rPr>
                <w:rFonts w:hint="eastAsia"/>
                <w:color w:val="000000" w:themeColor="text1"/>
                <w:sz w:val="24"/>
                <w:szCs w:val="24"/>
                <w:highlight w:val="none"/>
                <w14:textFill>
                  <w14:solidFill>
                    <w14:schemeClr w14:val="tx1"/>
                  </w14:solidFill>
                </w14:textFill>
              </w:rPr>
              <w:t>万元，占总投资的</w:t>
            </w:r>
            <w:r>
              <w:rPr>
                <w:rFonts w:hint="eastAsia"/>
                <w:color w:val="000000" w:themeColor="text1"/>
                <w:sz w:val="24"/>
                <w:szCs w:val="24"/>
                <w:highlight w:val="none"/>
                <w:lang w:val="en-US" w:eastAsia="zh-CN"/>
                <w14:textFill>
                  <w14:solidFill>
                    <w14:schemeClr w14:val="tx1"/>
                  </w14:solidFill>
                </w14:textFill>
              </w:rPr>
              <w:t>9.8</w:t>
            </w:r>
            <w:r>
              <w:rPr>
                <w:rFonts w:hint="eastAsia"/>
                <w:color w:val="000000" w:themeColor="text1"/>
                <w:sz w:val="24"/>
                <w:szCs w:val="24"/>
                <w:highlight w:val="none"/>
                <w14:textFill>
                  <w14:solidFill>
                    <w14:schemeClr w14:val="tx1"/>
                  </w14:solidFill>
                </w14:textFill>
              </w:rPr>
              <w:t>%。本项目环保投资及其建设内容见下表。</w:t>
            </w:r>
          </w:p>
          <w:p w14:paraId="3AE7253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表4-</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19</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ascii="Times New Roman" w:hAnsi="Times New Roman" w:eastAsia="宋体"/>
                <w:b/>
                <w:bCs/>
                <w:color w:val="000000" w:themeColor="text1"/>
                <w:szCs w:val="21"/>
                <w:highlight w:val="none"/>
                <w14:textFill>
                  <w14:solidFill>
                    <w14:schemeClr w14:val="tx1"/>
                  </w14:solidFill>
                </w14:textFill>
              </w:rPr>
              <w:t>项目环保设施及措施一览表</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76"/>
              <w:gridCol w:w="496"/>
              <w:gridCol w:w="1556"/>
              <w:gridCol w:w="4409"/>
              <w:gridCol w:w="1002"/>
            </w:tblGrid>
            <w:tr w14:paraId="28D88B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tcBorders>
                    <w:tl2br w:val="nil"/>
                    <w:tr2bl w:val="nil"/>
                  </w:tcBorders>
                  <w:shd w:val="clear" w:color="auto" w:fill="auto"/>
                  <w:vAlign w:val="center"/>
                </w:tcPr>
                <w:p w14:paraId="5EF5D9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时期</w:t>
                  </w:r>
                </w:p>
              </w:tc>
              <w:tc>
                <w:tcPr>
                  <w:tcW w:w="1292" w:type="pct"/>
                  <w:gridSpan w:val="2"/>
                  <w:tcBorders>
                    <w:tl2br w:val="nil"/>
                    <w:tr2bl w:val="nil"/>
                  </w:tcBorders>
                  <w:shd w:val="clear" w:color="auto" w:fill="auto"/>
                  <w:vAlign w:val="center"/>
                </w:tcPr>
                <w:p w14:paraId="506814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项目</w:t>
                  </w:r>
                </w:p>
              </w:tc>
              <w:tc>
                <w:tcPr>
                  <w:tcW w:w="2776" w:type="pct"/>
                  <w:tcBorders>
                    <w:tl2br w:val="nil"/>
                    <w:tr2bl w:val="nil"/>
                  </w:tcBorders>
                  <w:shd w:val="clear" w:color="auto" w:fill="auto"/>
                  <w:vAlign w:val="center"/>
                </w:tcPr>
                <w:p w14:paraId="6B69A2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hint="eastAsia" w:ascii="Times New Roman" w:hAnsi="Times New Roman" w:eastAsia="宋体"/>
                      <w:b/>
                      <w:snapToGrid w:val="0"/>
                      <w:color w:val="000000" w:themeColor="text1"/>
                      <w:kern w:val="0"/>
                      <w:szCs w:val="21"/>
                      <w:highlight w:val="none"/>
                      <w14:textFill>
                        <w14:solidFill>
                          <w14:schemeClr w14:val="tx1"/>
                        </w14:solidFill>
                      </w14:textFill>
                    </w:rPr>
                    <w:t>主要治理措施</w:t>
                  </w:r>
                </w:p>
              </w:tc>
              <w:tc>
                <w:tcPr>
                  <w:tcW w:w="631" w:type="pct"/>
                  <w:tcBorders>
                    <w:tl2br w:val="nil"/>
                    <w:tr2bl w:val="nil"/>
                  </w:tcBorders>
                  <w:shd w:val="clear" w:color="auto" w:fill="auto"/>
                  <w:vAlign w:val="center"/>
                </w:tcPr>
                <w:p w14:paraId="5E8C3F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投资</w:t>
                  </w:r>
                </w:p>
                <w:p w14:paraId="3600B7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（万元）</w:t>
                  </w:r>
                </w:p>
              </w:tc>
            </w:tr>
            <w:tr w14:paraId="7876A4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restart"/>
                  <w:tcBorders>
                    <w:tl2br w:val="nil"/>
                    <w:tr2bl w:val="nil"/>
                  </w:tcBorders>
                  <w:shd w:val="clear" w:color="auto" w:fill="auto"/>
                  <w:vAlign w:val="center"/>
                </w:tcPr>
                <w:p w14:paraId="5ADD279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施</w:t>
                  </w:r>
                </w:p>
                <w:p w14:paraId="41AE13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工</w:t>
                  </w:r>
                </w:p>
                <w:p w14:paraId="09ED7F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期</w:t>
                  </w:r>
                </w:p>
              </w:tc>
              <w:tc>
                <w:tcPr>
                  <w:tcW w:w="1292" w:type="pct"/>
                  <w:gridSpan w:val="2"/>
                  <w:tcBorders>
                    <w:tl2br w:val="nil"/>
                    <w:tr2bl w:val="nil"/>
                  </w:tcBorders>
                  <w:shd w:val="clear" w:color="auto" w:fill="auto"/>
                  <w:vAlign w:val="center"/>
                </w:tcPr>
                <w:p w14:paraId="6E378CD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施工扬尘</w:t>
                  </w:r>
                </w:p>
              </w:tc>
              <w:tc>
                <w:tcPr>
                  <w:tcW w:w="2776" w:type="pct"/>
                  <w:tcBorders>
                    <w:tl2br w:val="nil"/>
                    <w:tr2bl w:val="nil"/>
                  </w:tcBorders>
                  <w:shd w:val="clear" w:color="auto" w:fill="auto"/>
                  <w:vAlign w:val="center"/>
                </w:tcPr>
                <w:p w14:paraId="63BB2DA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施工场地周围设置围挡，封闭施工场地，道路洒水等措施</w:t>
                  </w:r>
                </w:p>
              </w:tc>
              <w:tc>
                <w:tcPr>
                  <w:tcW w:w="631" w:type="pct"/>
                  <w:tcBorders>
                    <w:tl2br w:val="nil"/>
                    <w:tr2bl w:val="nil"/>
                  </w:tcBorders>
                  <w:shd w:val="clear" w:color="auto" w:fill="auto"/>
                  <w:vAlign w:val="center"/>
                </w:tcPr>
                <w:p w14:paraId="340642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1.0</w:t>
                  </w:r>
                </w:p>
              </w:tc>
            </w:tr>
            <w:tr w14:paraId="34ECDB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7105489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1292" w:type="pct"/>
                  <w:gridSpan w:val="2"/>
                  <w:tcBorders>
                    <w:tl2br w:val="nil"/>
                    <w:tr2bl w:val="nil"/>
                  </w:tcBorders>
                  <w:shd w:val="clear" w:color="auto" w:fill="auto"/>
                  <w:vAlign w:val="center"/>
                </w:tcPr>
                <w:p w14:paraId="222CC91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生活污水</w:t>
                  </w:r>
                </w:p>
              </w:tc>
              <w:tc>
                <w:tcPr>
                  <w:tcW w:w="2776" w:type="pct"/>
                  <w:tcBorders>
                    <w:tl2br w:val="nil"/>
                    <w:tr2bl w:val="nil"/>
                  </w:tcBorders>
                  <w:shd w:val="clear" w:color="auto" w:fill="auto"/>
                  <w:vAlign w:val="center"/>
                </w:tcPr>
                <w:p w14:paraId="4665621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依托</w:t>
                  </w:r>
                  <w:r>
                    <w:rPr>
                      <w:rFonts w:hint="eastAsia" w:ascii="Times New Roman" w:hAnsi="Times New Roman" w:eastAsia="宋体"/>
                      <w:color w:val="000000" w:themeColor="text1"/>
                      <w:szCs w:val="21"/>
                      <w:highlight w:val="none"/>
                      <w:lang w:eastAsia="zh-CN"/>
                      <w14:textFill>
                        <w14:solidFill>
                          <w14:schemeClr w14:val="tx1"/>
                        </w14:solidFill>
                      </w14:textFill>
                    </w:rPr>
                    <w:t>租赁民房已建污水处理设施进行</w:t>
                  </w:r>
                  <w:r>
                    <w:rPr>
                      <w:rFonts w:hint="eastAsia" w:ascii="Times New Roman" w:hAnsi="Times New Roman" w:eastAsia="宋体"/>
                      <w:color w:val="000000" w:themeColor="text1"/>
                      <w:szCs w:val="21"/>
                      <w:highlight w:val="none"/>
                      <w14:textFill>
                        <w14:solidFill>
                          <w14:schemeClr w14:val="tx1"/>
                        </w14:solidFill>
                      </w14:textFill>
                    </w:rPr>
                    <w:t>处理</w:t>
                  </w:r>
                </w:p>
              </w:tc>
              <w:tc>
                <w:tcPr>
                  <w:tcW w:w="631" w:type="pct"/>
                  <w:tcBorders>
                    <w:tl2br w:val="nil"/>
                    <w:tr2bl w:val="nil"/>
                  </w:tcBorders>
                  <w:shd w:val="clear" w:color="auto" w:fill="auto"/>
                  <w:vAlign w:val="center"/>
                </w:tcPr>
                <w:p w14:paraId="507F09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w:t>
                  </w:r>
                </w:p>
              </w:tc>
            </w:tr>
            <w:tr w14:paraId="3E8FE4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67DFC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1292" w:type="pct"/>
                  <w:gridSpan w:val="2"/>
                  <w:tcBorders>
                    <w:tl2br w:val="nil"/>
                    <w:tr2bl w:val="nil"/>
                  </w:tcBorders>
                  <w:shd w:val="clear" w:color="auto" w:fill="auto"/>
                  <w:vAlign w:val="center"/>
                </w:tcPr>
                <w:p w14:paraId="4EDE170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施工废水</w:t>
                  </w:r>
                </w:p>
              </w:tc>
              <w:tc>
                <w:tcPr>
                  <w:tcW w:w="2776" w:type="pct"/>
                  <w:tcBorders>
                    <w:tl2br w:val="nil"/>
                    <w:tr2bl w:val="nil"/>
                  </w:tcBorders>
                  <w:shd w:val="clear" w:color="auto" w:fill="auto"/>
                  <w:vAlign w:val="center"/>
                </w:tcPr>
                <w:p w14:paraId="078992F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施工废水经隔油沉淀池处理后回用于洒水降尘等</w:t>
                  </w:r>
                </w:p>
              </w:tc>
              <w:tc>
                <w:tcPr>
                  <w:tcW w:w="631" w:type="pct"/>
                  <w:tcBorders>
                    <w:tl2br w:val="nil"/>
                    <w:tr2bl w:val="nil"/>
                  </w:tcBorders>
                  <w:shd w:val="clear" w:color="auto" w:fill="auto"/>
                  <w:vAlign w:val="center"/>
                </w:tcPr>
                <w:p w14:paraId="498473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0.2</w:t>
                  </w:r>
                </w:p>
              </w:tc>
            </w:tr>
            <w:tr w14:paraId="560F7F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8B2F5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1292" w:type="pct"/>
                  <w:gridSpan w:val="2"/>
                  <w:tcBorders>
                    <w:tl2br w:val="nil"/>
                    <w:tr2bl w:val="nil"/>
                  </w:tcBorders>
                  <w:shd w:val="clear" w:color="auto" w:fill="auto"/>
                  <w:vAlign w:val="center"/>
                </w:tcPr>
                <w:p w14:paraId="71440E7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噪声</w:t>
                  </w:r>
                </w:p>
              </w:tc>
              <w:tc>
                <w:tcPr>
                  <w:tcW w:w="2776" w:type="pct"/>
                  <w:tcBorders>
                    <w:tl2br w:val="nil"/>
                    <w:tr2bl w:val="nil"/>
                  </w:tcBorders>
                  <w:shd w:val="clear" w:color="auto" w:fill="auto"/>
                  <w:vAlign w:val="center"/>
                </w:tcPr>
                <w:p w14:paraId="4EFF8FC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选用低噪声设备，机械定期保养、维护等</w:t>
                  </w:r>
                </w:p>
              </w:tc>
              <w:tc>
                <w:tcPr>
                  <w:tcW w:w="631" w:type="pct"/>
                  <w:tcBorders>
                    <w:tl2br w:val="nil"/>
                    <w:tr2bl w:val="nil"/>
                  </w:tcBorders>
                  <w:shd w:val="clear" w:color="auto" w:fill="auto"/>
                  <w:vAlign w:val="center"/>
                </w:tcPr>
                <w:p w14:paraId="647E07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1.0</w:t>
                  </w:r>
                </w:p>
              </w:tc>
            </w:tr>
            <w:tr w14:paraId="7449F5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DB53C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5C80FD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固废</w:t>
                  </w:r>
                </w:p>
              </w:tc>
              <w:tc>
                <w:tcPr>
                  <w:tcW w:w="979" w:type="pct"/>
                  <w:tcBorders>
                    <w:tl2br w:val="nil"/>
                    <w:tr2bl w:val="nil"/>
                  </w:tcBorders>
                  <w:shd w:val="clear" w:color="auto" w:fill="auto"/>
                  <w:vAlign w:val="center"/>
                </w:tcPr>
                <w:p w14:paraId="437D453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生活垃圾</w:t>
                  </w:r>
                </w:p>
              </w:tc>
              <w:tc>
                <w:tcPr>
                  <w:tcW w:w="2776" w:type="pct"/>
                  <w:tcBorders>
                    <w:tl2br w:val="nil"/>
                    <w:tr2bl w:val="nil"/>
                  </w:tcBorders>
                  <w:shd w:val="clear" w:color="auto" w:fill="auto"/>
                  <w:vAlign w:val="center"/>
                </w:tcPr>
                <w:p w14:paraId="5A14255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垃圾袋装收集后由城市环卫部门统一清运</w:t>
                  </w:r>
                </w:p>
              </w:tc>
              <w:tc>
                <w:tcPr>
                  <w:tcW w:w="631" w:type="pct"/>
                  <w:tcBorders>
                    <w:tl2br w:val="nil"/>
                    <w:tr2bl w:val="nil"/>
                  </w:tcBorders>
                  <w:shd w:val="clear" w:color="auto" w:fill="auto"/>
                  <w:vAlign w:val="center"/>
                </w:tcPr>
                <w:p w14:paraId="7739BB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0.</w:t>
                  </w:r>
                  <w:r>
                    <w:rPr>
                      <w:rFonts w:hint="eastAsia" w:ascii="Times New Roman" w:hAnsi="Times New Roman" w:eastAsia="宋体"/>
                      <w:snapToGrid w:val="0"/>
                      <w:color w:val="000000" w:themeColor="text1"/>
                      <w:kern w:val="0"/>
                      <w:szCs w:val="21"/>
                      <w:highlight w:val="none"/>
                      <w14:textFill>
                        <w14:solidFill>
                          <w14:schemeClr w14:val="tx1"/>
                        </w14:solidFill>
                      </w14:textFill>
                    </w:rPr>
                    <w:t>2</w:t>
                  </w:r>
                </w:p>
              </w:tc>
            </w:tr>
            <w:tr w14:paraId="696CDF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restart"/>
                  <w:tcBorders>
                    <w:tl2br w:val="nil"/>
                    <w:tr2bl w:val="nil"/>
                  </w:tcBorders>
                  <w:shd w:val="clear" w:color="auto" w:fill="auto"/>
                  <w:vAlign w:val="center"/>
                </w:tcPr>
                <w:p w14:paraId="423FBA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营</w:t>
                  </w:r>
                </w:p>
                <w:p w14:paraId="34FBD6E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运</w:t>
                  </w:r>
                </w:p>
                <w:p w14:paraId="65AC3E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期</w:t>
                  </w:r>
                </w:p>
              </w:tc>
              <w:tc>
                <w:tcPr>
                  <w:tcW w:w="312" w:type="pct"/>
                  <w:vMerge w:val="restart"/>
                  <w:tcBorders>
                    <w:tl2br w:val="nil"/>
                    <w:tr2bl w:val="nil"/>
                  </w:tcBorders>
                  <w:shd w:val="clear" w:color="auto" w:fill="auto"/>
                  <w:vAlign w:val="center"/>
                </w:tcPr>
                <w:p w14:paraId="3CCECE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废气治理</w:t>
                  </w:r>
                </w:p>
              </w:tc>
              <w:tc>
                <w:tcPr>
                  <w:tcW w:w="979" w:type="pct"/>
                  <w:tcBorders>
                    <w:tl2br w:val="nil"/>
                    <w:tr2bl w:val="nil"/>
                  </w:tcBorders>
                  <w:shd w:val="clear" w:color="auto" w:fill="auto"/>
                  <w:vAlign w:val="center"/>
                </w:tcPr>
                <w:p w14:paraId="47D958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原料</w:t>
                  </w:r>
                  <w:r>
                    <w:rPr>
                      <w:rFonts w:hint="eastAsia" w:ascii="Times New Roman" w:hAnsi="Times New Roman" w:eastAsia="宋体"/>
                      <w:color w:val="000000" w:themeColor="text1"/>
                      <w:szCs w:val="21"/>
                      <w:highlight w:val="none"/>
                      <w:lang w:eastAsia="zh-CN" w:bidi="ar"/>
                      <w14:textFill>
                        <w14:solidFill>
                          <w14:schemeClr w14:val="tx1"/>
                        </w14:solidFill>
                      </w14:textFill>
                    </w:rPr>
                    <w:t>装卸、堆存扬尘</w:t>
                  </w:r>
                </w:p>
              </w:tc>
              <w:tc>
                <w:tcPr>
                  <w:tcW w:w="2776" w:type="pct"/>
                  <w:tcBorders>
                    <w:tl2br w:val="nil"/>
                    <w:tr2bl w:val="nil"/>
                  </w:tcBorders>
                  <w:shd w:val="clear" w:color="auto" w:fill="auto"/>
                  <w:vAlign w:val="center"/>
                </w:tcPr>
                <w:p w14:paraId="04AF2C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料仓、配料仓（斗）均采用三面围挡+彩钢顶棚的形式设置，并在顶部设置有喷雾除尘装置（每个料仓设置3个喷雾点）</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w:t>
                  </w:r>
                  <w:r>
                    <w:rPr>
                      <w:rFonts w:hint="eastAsia" w:ascii="Times New Roman" w:hAnsi="Times New Roman" w:eastAsia="宋体"/>
                      <w:color w:val="000000" w:themeColor="text1"/>
                      <w:szCs w:val="21"/>
                      <w:highlight w:val="none"/>
                      <w:lang w:bidi="ar"/>
                      <w14:textFill>
                        <w14:solidFill>
                          <w14:schemeClr w14:val="tx1"/>
                        </w14:solidFill>
                      </w14:textFill>
                    </w:rPr>
                    <w:t>2台移动式除尘雾炮机。（</w:t>
                  </w:r>
                  <w:r>
                    <w:rPr>
                      <w:rFonts w:hint="eastAsia" w:ascii="Times New Roman" w:hAnsi="Times New Roman" w:eastAsia="宋体"/>
                      <w:color w:val="000000" w:themeColor="text1"/>
                      <w:szCs w:val="21"/>
                      <w:highlight w:val="none"/>
                      <w:lang w:eastAsia="zh-CN" w:bidi="ar"/>
                      <w14:textFill>
                        <w14:solidFill>
                          <w14:schemeClr w14:val="tx1"/>
                        </w14:solidFill>
                      </w14:textFill>
                    </w:rPr>
                    <w:t>综合</w:t>
                  </w:r>
                  <w:r>
                    <w:rPr>
                      <w:rFonts w:hint="eastAsia" w:ascii="Times New Roman" w:hAnsi="Times New Roman" w:eastAsia="宋体"/>
                      <w:color w:val="000000" w:themeColor="text1"/>
                      <w:szCs w:val="21"/>
                      <w:highlight w:val="none"/>
                      <w:lang w:bidi="ar"/>
                      <w14:textFill>
                        <w14:solidFill>
                          <w14:schemeClr w14:val="tx1"/>
                        </w14:solidFill>
                      </w14:textFill>
                    </w:rPr>
                    <w:t>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99.6056</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631" w:type="pct"/>
                  <w:tcBorders>
                    <w:tl2br w:val="nil"/>
                    <w:tr2bl w:val="nil"/>
                  </w:tcBorders>
                  <w:shd w:val="clear" w:color="auto" w:fill="auto"/>
                  <w:vAlign w:val="center"/>
                </w:tcPr>
                <w:p w14:paraId="031B44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12</w:t>
                  </w:r>
                  <w:r>
                    <w:rPr>
                      <w:rFonts w:ascii="Times New Roman" w:hAnsi="Times New Roman" w:eastAsia="宋体"/>
                      <w:snapToGrid w:val="0"/>
                      <w:color w:val="000000" w:themeColor="text1"/>
                      <w:kern w:val="0"/>
                      <w:szCs w:val="21"/>
                      <w:highlight w:val="none"/>
                      <w14:textFill>
                        <w14:solidFill>
                          <w14:schemeClr w14:val="tx1"/>
                        </w14:solidFill>
                      </w14:textFill>
                    </w:rPr>
                    <w:t>.0</w:t>
                  </w:r>
                </w:p>
              </w:tc>
            </w:tr>
            <w:tr w14:paraId="2B2557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C5534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640FC12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019948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骨料输送</w:t>
                  </w:r>
                </w:p>
              </w:tc>
              <w:tc>
                <w:tcPr>
                  <w:tcW w:w="2776" w:type="pct"/>
                  <w:tcBorders>
                    <w:tl2br w:val="nil"/>
                    <w:tr2bl w:val="nil"/>
                  </w:tcBorders>
                  <w:shd w:val="clear" w:color="auto" w:fill="auto"/>
                  <w:vAlign w:val="center"/>
                </w:tcPr>
                <w:p w14:paraId="39EC0D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密闭的输送廊道，并在皮带输送进料口设置喷淋抑尘装置</w:t>
                  </w:r>
                </w:p>
              </w:tc>
              <w:tc>
                <w:tcPr>
                  <w:tcW w:w="631" w:type="pct"/>
                  <w:tcBorders>
                    <w:tl2br w:val="nil"/>
                    <w:tr2bl w:val="nil"/>
                  </w:tcBorders>
                  <w:shd w:val="clear" w:color="auto" w:fill="auto"/>
                  <w:vAlign w:val="center"/>
                </w:tcPr>
                <w:p w14:paraId="764721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1.0</w:t>
                  </w:r>
                </w:p>
              </w:tc>
            </w:tr>
            <w:tr w14:paraId="377A30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377C0DE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71BAD0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530A5C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储料罐呼吸口</w:t>
                  </w:r>
                </w:p>
              </w:tc>
              <w:tc>
                <w:tcPr>
                  <w:tcW w:w="2776" w:type="pct"/>
                  <w:tcBorders>
                    <w:tl2br w:val="nil"/>
                    <w:tr2bl w:val="nil"/>
                  </w:tcBorders>
                  <w:shd w:val="clear" w:color="auto" w:fill="auto"/>
                  <w:vAlign w:val="center"/>
                </w:tcPr>
                <w:p w14:paraId="26C0A9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筒仓放空口处安装自动衔接输料口</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w:t>
                  </w:r>
                  <w:r>
                    <w:rPr>
                      <w:rFonts w:hint="eastAsia" w:ascii="Times New Roman" w:hAnsi="Times New Roman" w:eastAsia="宋体"/>
                      <w:color w:val="000000" w:themeColor="text1"/>
                      <w:szCs w:val="21"/>
                      <w:highlight w:val="none"/>
                      <w:lang w:bidi="ar"/>
                      <w14:textFill>
                        <w14:solidFill>
                          <w14:schemeClr w14:val="tx1"/>
                        </w14:solidFill>
                      </w14:textFill>
                    </w:rPr>
                    <w:t>仓顶除尘器（处理效率99.5%）处理后无组织排放</w:t>
                  </w:r>
                </w:p>
              </w:tc>
              <w:tc>
                <w:tcPr>
                  <w:tcW w:w="631" w:type="pct"/>
                  <w:tcBorders>
                    <w:tl2br w:val="nil"/>
                    <w:tr2bl w:val="nil"/>
                  </w:tcBorders>
                  <w:shd w:val="clear" w:color="auto" w:fill="auto"/>
                  <w:vAlign w:val="center"/>
                </w:tcPr>
                <w:p w14:paraId="1CF4EC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20.</w:t>
                  </w:r>
                  <w:r>
                    <w:rPr>
                      <w:rFonts w:hint="eastAsia" w:ascii="Times New Roman" w:hAnsi="Times New Roman" w:eastAsia="宋体"/>
                      <w:snapToGrid w:val="0"/>
                      <w:color w:val="000000" w:themeColor="text1"/>
                      <w:kern w:val="0"/>
                      <w:szCs w:val="21"/>
                      <w:highlight w:val="none"/>
                      <w14:textFill>
                        <w14:solidFill>
                          <w14:schemeClr w14:val="tx1"/>
                        </w14:solidFill>
                      </w14:textFill>
                    </w:rPr>
                    <w:t>0</w:t>
                  </w:r>
                </w:p>
              </w:tc>
            </w:tr>
            <w:tr w14:paraId="72316F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F8475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14A7E2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7A29D4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搅拌</w:t>
                  </w:r>
                  <w:r>
                    <w:rPr>
                      <w:rFonts w:hint="eastAsia" w:ascii="Times New Roman" w:hAnsi="Times New Roman" w:eastAsia="宋体"/>
                      <w:color w:val="000000" w:themeColor="text1"/>
                      <w:szCs w:val="21"/>
                      <w:highlight w:val="none"/>
                      <w:lang w:eastAsia="zh-CN" w:bidi="ar"/>
                      <w14:textFill>
                        <w14:solidFill>
                          <w14:schemeClr w14:val="tx1"/>
                        </w14:solidFill>
                      </w14:textFill>
                    </w:rPr>
                    <w:t>（含投料）粉尘</w:t>
                  </w:r>
                </w:p>
              </w:tc>
              <w:tc>
                <w:tcPr>
                  <w:tcW w:w="2776" w:type="pct"/>
                  <w:tcBorders>
                    <w:tl2br w:val="nil"/>
                    <w:tr2bl w:val="nil"/>
                  </w:tcBorders>
                  <w:shd w:val="clear" w:color="auto" w:fill="auto"/>
                  <w:vAlign w:val="center"/>
                </w:tcPr>
                <w:p w14:paraId="7941B3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密闭搅拌机，且位于密闭厂房内，搅拌系统配备一台</w:t>
                  </w:r>
                  <w:r>
                    <w:rPr>
                      <w:rFonts w:hint="eastAsia" w:ascii="Times New Roman" w:hAnsi="Times New Roman" w:eastAsia="宋体"/>
                      <w:color w:val="000000" w:themeColor="text1"/>
                      <w:szCs w:val="21"/>
                      <w:highlight w:val="none"/>
                      <w:lang w:bidi="ar"/>
                      <w14:textFill>
                        <w14:solidFill>
                          <w14:schemeClr w14:val="tx1"/>
                        </w14:solidFill>
                      </w14:textFill>
                    </w:rPr>
                    <w:t>布袋</w:t>
                  </w:r>
                  <w:r>
                    <w:rPr>
                      <w:rFonts w:ascii="Times New Roman" w:hAnsi="Times New Roman" w:eastAsia="宋体"/>
                      <w:color w:val="000000" w:themeColor="text1"/>
                      <w:szCs w:val="21"/>
                      <w:highlight w:val="none"/>
                      <w:lang w:bidi="ar"/>
                      <w14:textFill>
                        <w14:solidFill>
                          <w14:schemeClr w14:val="tx1"/>
                        </w14:solidFill>
                      </w14:textFill>
                    </w:rPr>
                    <w:t>除尘器</w:t>
                  </w:r>
                  <w:r>
                    <w:rPr>
                      <w:rFonts w:hint="eastAsia" w:ascii="Times New Roman" w:hAnsi="Times New Roman" w:eastAsia="宋体"/>
                      <w:color w:val="000000" w:themeColor="text1"/>
                      <w:szCs w:val="21"/>
                      <w:highlight w:val="none"/>
                      <w:lang w:bidi="ar"/>
                      <w14:textFill>
                        <w14:solidFill>
                          <w14:schemeClr w14:val="tx1"/>
                        </w14:solidFill>
                      </w14:textFill>
                    </w:rPr>
                    <w:t>（收集效率100%，除尘效率9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w:t>
                  </w:r>
                  <w:r>
                    <w:rPr>
                      <w:rFonts w:hint="eastAsia" w:ascii="Times New Roman" w:hAnsi="Times New Roman" w:eastAsia="宋体"/>
                      <w:color w:val="000000" w:themeColor="text1"/>
                      <w:szCs w:val="21"/>
                      <w:highlight w:val="none"/>
                      <w:lang w:bidi="ar"/>
                      <w14:textFill>
                        <w14:solidFill>
                          <w14:schemeClr w14:val="tx1"/>
                        </w14:solidFill>
                      </w14:textFill>
                    </w:rPr>
                    <w:t>%），同时，在封闭式厂房</w:t>
                  </w:r>
                  <w:r>
                    <w:rPr>
                      <w:rFonts w:hint="eastAsia" w:ascii="Times New Roman" w:hAnsi="Times New Roman" w:eastAsia="宋体"/>
                      <w:color w:val="000000" w:themeColor="text1"/>
                      <w:szCs w:val="21"/>
                      <w:highlight w:val="none"/>
                      <w:lang w:eastAsia="zh-CN" w:bidi="ar"/>
                      <w14:textFill>
                        <w14:solidFill>
                          <w14:schemeClr w14:val="tx1"/>
                        </w14:solidFill>
                      </w14:textFill>
                    </w:rPr>
                    <w:t>内安装</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洒水降尘（除尘效率70%）</w:t>
                  </w:r>
                </w:p>
              </w:tc>
              <w:tc>
                <w:tcPr>
                  <w:tcW w:w="631" w:type="pct"/>
                  <w:tcBorders>
                    <w:tl2br w:val="nil"/>
                    <w:tr2bl w:val="nil"/>
                  </w:tcBorders>
                  <w:shd w:val="clear" w:color="auto" w:fill="auto"/>
                  <w:vAlign w:val="center"/>
                </w:tcPr>
                <w:p w14:paraId="21B1E3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6</w:t>
                  </w:r>
                  <w:r>
                    <w:rPr>
                      <w:rFonts w:hint="eastAsia" w:ascii="Times New Roman" w:hAnsi="Times New Roman" w:eastAsia="宋体"/>
                      <w:snapToGrid w:val="0"/>
                      <w:color w:val="000000" w:themeColor="text1"/>
                      <w:kern w:val="0"/>
                      <w:szCs w:val="21"/>
                      <w:highlight w:val="none"/>
                      <w14:textFill>
                        <w14:solidFill>
                          <w14:schemeClr w14:val="tx1"/>
                        </w14:solidFill>
                      </w14:textFill>
                    </w:rPr>
                    <w:t>.0</w:t>
                  </w:r>
                </w:p>
              </w:tc>
            </w:tr>
            <w:tr w14:paraId="736DB2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0875659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4D59D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2C7C06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焊接烟尘</w:t>
                  </w:r>
                </w:p>
              </w:tc>
              <w:tc>
                <w:tcPr>
                  <w:tcW w:w="2776" w:type="pct"/>
                  <w:tcBorders>
                    <w:tl2br w:val="nil"/>
                    <w:tr2bl w:val="nil"/>
                  </w:tcBorders>
                  <w:shd w:val="clear" w:color="auto" w:fill="auto"/>
                  <w:vAlign w:val="center"/>
                </w:tcPr>
                <w:p w14:paraId="5F435F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设置固定焊接区域，配备2</w:t>
                  </w:r>
                  <w:r>
                    <w:rPr>
                      <w:rFonts w:hint="eastAsia" w:ascii="Times New Roman" w:hAnsi="Times New Roman" w:eastAsia="宋体"/>
                      <w:color w:val="000000" w:themeColor="text1"/>
                      <w:szCs w:val="21"/>
                      <w:highlight w:val="none"/>
                      <w:lang w:bidi="ar"/>
                      <w14:textFill>
                        <w14:solidFill>
                          <w14:schemeClr w14:val="tx1"/>
                        </w14:solidFill>
                      </w14:textFill>
                    </w:rPr>
                    <w:t>台移动式焊烟净化器（收集效率80%，处理效率9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r>
                    <w:rPr>
                      <w:rFonts w:hint="eastAsia" w:ascii="Times New Roman" w:hAnsi="Times New Roman" w:eastAsia="宋体"/>
                      <w:color w:val="000000" w:themeColor="text1"/>
                      <w:szCs w:val="21"/>
                      <w:highlight w:val="none"/>
                      <w:lang w:bidi="ar"/>
                      <w14:textFill>
                        <w14:solidFill>
                          <w14:schemeClr w14:val="tx1"/>
                        </w14:solidFill>
                      </w14:textFill>
                    </w:rPr>
                    <w:t>%）处理后排放</w:t>
                  </w:r>
                </w:p>
              </w:tc>
              <w:tc>
                <w:tcPr>
                  <w:tcW w:w="631" w:type="pct"/>
                  <w:tcBorders>
                    <w:tl2br w:val="nil"/>
                    <w:tr2bl w:val="nil"/>
                  </w:tcBorders>
                  <w:shd w:val="clear" w:color="auto" w:fill="auto"/>
                  <w:vAlign w:val="center"/>
                </w:tcPr>
                <w:p w14:paraId="08A4AA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3.0</w:t>
                  </w:r>
                </w:p>
              </w:tc>
            </w:tr>
            <w:tr w14:paraId="4D8053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994DA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6A18FF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3932FB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汽车运输扬尘</w:t>
                  </w:r>
                </w:p>
              </w:tc>
              <w:tc>
                <w:tcPr>
                  <w:tcW w:w="2776" w:type="pct"/>
                  <w:tcBorders>
                    <w:tl2br w:val="nil"/>
                    <w:tr2bl w:val="nil"/>
                  </w:tcBorders>
                  <w:shd w:val="clear" w:color="auto" w:fill="auto"/>
                  <w:vAlign w:val="center"/>
                </w:tcPr>
                <w:p w14:paraId="43A8C8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地面硬化、运</w:t>
                  </w:r>
                  <w:r>
                    <w:rPr>
                      <w:rFonts w:hint="eastAsia" w:ascii="Times New Roman" w:hAnsi="Times New Roman" w:eastAsia="宋体"/>
                      <w:color w:val="000000" w:themeColor="text1"/>
                      <w:szCs w:val="21"/>
                      <w:highlight w:val="none"/>
                      <w:lang w:bidi="ar"/>
                      <w14:textFill>
                        <w14:solidFill>
                          <w14:schemeClr w14:val="tx1"/>
                        </w14:solidFill>
                      </w14:textFill>
                    </w:rPr>
                    <w:t>输车辆采用篷布进行遮蔽处理，控制装载量，禁止裸露、冒尖或超载运输，洒水降尘（除尘效率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85</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631" w:type="pct"/>
                  <w:tcBorders>
                    <w:tl2br w:val="nil"/>
                    <w:tr2bl w:val="nil"/>
                  </w:tcBorders>
                  <w:shd w:val="clear" w:color="auto" w:fill="auto"/>
                  <w:vAlign w:val="center"/>
                </w:tcPr>
                <w:p w14:paraId="7C0E04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1.0</w:t>
                  </w:r>
                </w:p>
              </w:tc>
            </w:tr>
            <w:tr w14:paraId="37EC2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587D4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1479DB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34785D7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食堂油烟</w:t>
                  </w:r>
                </w:p>
              </w:tc>
              <w:tc>
                <w:tcPr>
                  <w:tcW w:w="2776" w:type="pct"/>
                  <w:tcBorders>
                    <w:tl2br w:val="nil"/>
                    <w:tr2bl w:val="nil"/>
                  </w:tcBorders>
                  <w:shd w:val="clear" w:color="auto" w:fill="auto"/>
                  <w:vAlign w:val="center"/>
                </w:tcPr>
                <w:p w14:paraId="32D6C1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设置3台油烟净化器对油烟进行净化处理，净化效率约为75%，通过排烟管道引至屋顶高空排放</w:t>
                  </w:r>
                </w:p>
              </w:tc>
              <w:tc>
                <w:tcPr>
                  <w:tcW w:w="631" w:type="pct"/>
                  <w:tcBorders>
                    <w:tl2br w:val="nil"/>
                    <w:tr2bl w:val="nil"/>
                  </w:tcBorders>
                  <w:shd w:val="clear" w:color="auto" w:fill="auto"/>
                  <w:vAlign w:val="center"/>
                </w:tcPr>
                <w:p w14:paraId="001C42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2.0</w:t>
                  </w:r>
                </w:p>
              </w:tc>
            </w:tr>
            <w:tr w14:paraId="26A021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0A770A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5213E4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586AE2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备用发电机废气</w:t>
                  </w:r>
                </w:p>
              </w:tc>
              <w:tc>
                <w:tcPr>
                  <w:tcW w:w="2776" w:type="pct"/>
                  <w:tcBorders>
                    <w:tl2br w:val="nil"/>
                    <w:tr2bl w:val="nil"/>
                  </w:tcBorders>
                  <w:shd w:val="clear" w:color="auto" w:fill="auto"/>
                  <w:vAlign w:val="center"/>
                </w:tcPr>
                <w:p w14:paraId="6BF90DC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发电机自带消烟除尘装置后经</w:t>
                  </w:r>
                  <w:r>
                    <w:rPr>
                      <w:rFonts w:hint="eastAsia" w:ascii="Times New Roman" w:hAnsi="Times New Roman" w:eastAsia="宋体"/>
                      <w:color w:val="000000" w:themeColor="text1"/>
                      <w:szCs w:val="21"/>
                      <w:highlight w:val="none"/>
                      <w:lang w:eastAsia="zh-CN"/>
                      <w14:textFill>
                        <w14:solidFill>
                          <w14:schemeClr w14:val="tx1"/>
                        </w14:solidFill>
                      </w14:textFill>
                    </w:rPr>
                    <w:t>专用烟道</w:t>
                  </w:r>
                  <w:r>
                    <w:rPr>
                      <w:rFonts w:hint="eastAsia" w:ascii="Times New Roman" w:hAnsi="Times New Roman" w:eastAsia="宋体"/>
                      <w:color w:val="000000" w:themeColor="text1"/>
                      <w:szCs w:val="21"/>
                      <w:highlight w:val="none"/>
                      <w14:textFill>
                        <w14:solidFill>
                          <w14:schemeClr w14:val="tx1"/>
                        </w14:solidFill>
                      </w14:textFill>
                    </w:rPr>
                    <w:t>排放</w:t>
                  </w:r>
                </w:p>
              </w:tc>
              <w:tc>
                <w:tcPr>
                  <w:tcW w:w="631" w:type="pct"/>
                  <w:tcBorders>
                    <w:tl2br w:val="nil"/>
                    <w:tr2bl w:val="nil"/>
                  </w:tcBorders>
                  <w:shd w:val="clear" w:color="auto" w:fill="auto"/>
                  <w:vAlign w:val="center"/>
                </w:tcPr>
                <w:p w14:paraId="2C88D7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0.5</w:t>
                  </w:r>
                </w:p>
              </w:tc>
            </w:tr>
            <w:tr w14:paraId="26E1D4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F9CB4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6ED8B5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5A8A8DE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汽车尾气</w:t>
                  </w:r>
                </w:p>
              </w:tc>
              <w:tc>
                <w:tcPr>
                  <w:tcW w:w="2776" w:type="pct"/>
                  <w:tcBorders>
                    <w:tl2br w:val="nil"/>
                    <w:tr2bl w:val="nil"/>
                  </w:tcBorders>
                  <w:shd w:val="clear" w:color="auto" w:fill="auto"/>
                  <w:vAlign w:val="center"/>
                </w:tcPr>
                <w:p w14:paraId="72EB486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自然扩散</w:t>
                  </w:r>
                </w:p>
              </w:tc>
              <w:tc>
                <w:tcPr>
                  <w:tcW w:w="631" w:type="pct"/>
                  <w:tcBorders>
                    <w:tl2br w:val="nil"/>
                    <w:tr2bl w:val="nil"/>
                  </w:tcBorders>
                  <w:shd w:val="clear" w:color="auto" w:fill="auto"/>
                  <w:vAlign w:val="center"/>
                </w:tcPr>
                <w:p w14:paraId="177176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w:t>
                  </w:r>
                </w:p>
              </w:tc>
            </w:tr>
            <w:tr w14:paraId="543B3D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19C39C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restart"/>
                  <w:tcBorders>
                    <w:tl2br w:val="nil"/>
                    <w:tr2bl w:val="nil"/>
                  </w:tcBorders>
                  <w:shd w:val="clear" w:color="auto" w:fill="auto"/>
                  <w:vAlign w:val="center"/>
                </w:tcPr>
                <w:p w14:paraId="10D9FBF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废水治理</w:t>
                  </w:r>
                </w:p>
              </w:tc>
              <w:tc>
                <w:tcPr>
                  <w:tcW w:w="979" w:type="pct"/>
                  <w:tcBorders>
                    <w:tl2br w:val="nil"/>
                    <w:tr2bl w:val="nil"/>
                  </w:tcBorders>
                  <w:shd w:val="clear" w:color="auto" w:fill="auto"/>
                  <w:vAlign w:val="center"/>
                </w:tcPr>
                <w:p w14:paraId="647CF1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生活污水</w:t>
                  </w:r>
                </w:p>
              </w:tc>
              <w:tc>
                <w:tcPr>
                  <w:tcW w:w="2776" w:type="pct"/>
                  <w:tcBorders>
                    <w:tl2br w:val="nil"/>
                    <w:tr2bl w:val="nil"/>
                  </w:tcBorders>
                  <w:shd w:val="clear" w:color="auto" w:fill="auto"/>
                  <w:vAlign w:val="center"/>
                </w:tcPr>
                <w:p w14:paraId="55E3945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化粪池</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highlight w:val="none"/>
                      <w:lang w:eastAsia="zh-CN"/>
                      <w14:textFill>
                        <w14:solidFill>
                          <w14:schemeClr w14:val="tx1"/>
                        </w14:solidFill>
                      </w14:textFill>
                    </w:rPr>
                    <w:t>m</w:t>
                  </w:r>
                  <w:r>
                    <w:rPr>
                      <w:rFonts w:hint="default" w:ascii="Times New Roman" w:hAnsi="Times New Roman" w:eastAsia="宋体" w:cs="Times New Roman"/>
                      <w:color w:val="000000" w:themeColor="text1"/>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14:textFill>
                        <w14:solidFill>
                          <w14:schemeClr w14:val="tx1"/>
                        </w14:solidFill>
                      </w14:textFill>
                    </w:rPr>
                    <w:t>处理</w:t>
                  </w:r>
                  <w:r>
                    <w:rPr>
                      <w:rFonts w:hint="default" w:ascii="Times New Roman" w:hAnsi="Times New Roman" w:eastAsia="宋体" w:cs="Times New Roman"/>
                      <w:color w:val="000000" w:themeColor="text1"/>
                      <w:highlight w:val="none"/>
                      <w:lang w:eastAsia="zh-CN"/>
                      <w14:textFill>
                        <w14:solidFill>
                          <w14:schemeClr w14:val="tx1"/>
                        </w14:solidFill>
                      </w14:textFill>
                    </w:rPr>
                    <w:t>后</w:t>
                  </w:r>
                  <w:r>
                    <w:rPr>
                      <w:rFonts w:hint="eastAsia" w:ascii="Times New Roman" w:hAnsi="Times New Roman" w:eastAsia="宋体" w:cs="Times New Roman"/>
                      <w:color w:val="000000" w:themeColor="text1"/>
                      <w:highlight w:val="none"/>
                      <w:lang w:eastAsia="zh-CN"/>
                      <w14:textFill>
                        <w14:solidFill>
                          <w14:schemeClr w14:val="tx1"/>
                        </w14:solidFill>
                      </w14:textFill>
                    </w:rPr>
                    <w:t>由吸污车拉运至</w:t>
                  </w:r>
                  <w:r>
                    <w:rPr>
                      <w:rFonts w:hint="default" w:ascii="Times New Roman" w:hAnsi="Times New Roman" w:eastAsia="宋体" w:cs="Times New Roman"/>
                      <w:color w:val="000000" w:themeColor="text1"/>
                      <w:highlight w:val="none"/>
                      <w:lang w:eastAsia="zh-CN"/>
                      <w14:textFill>
                        <w14:solidFill>
                          <w14:schemeClr w14:val="tx1"/>
                        </w14:solidFill>
                      </w14:textFill>
                    </w:rPr>
                    <w:t>宝梵污水处理厂</w:t>
                  </w:r>
                </w:p>
              </w:tc>
              <w:tc>
                <w:tcPr>
                  <w:tcW w:w="631" w:type="pct"/>
                  <w:tcBorders>
                    <w:tl2br w:val="nil"/>
                    <w:tr2bl w:val="nil"/>
                  </w:tcBorders>
                  <w:shd w:val="clear" w:color="auto" w:fill="auto"/>
                  <w:vAlign w:val="center"/>
                </w:tcPr>
                <w:p w14:paraId="2513B6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4.0</w:t>
                  </w:r>
                </w:p>
              </w:tc>
            </w:tr>
            <w:tr w14:paraId="6DE6B5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7E124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5A42E7D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vMerge w:val="restart"/>
                  <w:tcBorders>
                    <w:tl2br w:val="nil"/>
                    <w:tr2bl w:val="nil"/>
                  </w:tcBorders>
                  <w:shd w:val="clear" w:color="auto" w:fill="auto"/>
                  <w:vAlign w:val="center"/>
                </w:tcPr>
                <w:p w14:paraId="004C63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生产废水</w:t>
                  </w:r>
                </w:p>
              </w:tc>
              <w:tc>
                <w:tcPr>
                  <w:tcW w:w="2776" w:type="pct"/>
                  <w:tcBorders>
                    <w:tl2br w:val="nil"/>
                    <w:tr2bl w:val="nil"/>
                  </w:tcBorders>
                  <w:shd w:val="clear" w:color="auto" w:fill="auto"/>
                  <w:vAlign w:val="center"/>
                </w:tcPr>
                <w:p w14:paraId="0D7ACB5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搅拌机冲洗、地坪冲洗废水</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等</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经收集后进入砂石分离器，污水收集池，进入搅拌池，同时添加絮凝沉淀剂（PAM、PAC），上清液回用，压滤泥饼收集后定期外运至G42线南充至成都段高速公路扩容工程弃渣场（经纬度：105.5903，30.6304）。</w:t>
                  </w:r>
                </w:p>
              </w:tc>
              <w:tc>
                <w:tcPr>
                  <w:tcW w:w="631" w:type="pct"/>
                  <w:tcBorders>
                    <w:tl2br w:val="nil"/>
                    <w:tr2bl w:val="nil"/>
                  </w:tcBorders>
                  <w:shd w:val="clear" w:color="auto" w:fill="auto"/>
                  <w:vAlign w:val="center"/>
                </w:tcPr>
                <w:p w14:paraId="0611F1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20.0</w:t>
                  </w:r>
                </w:p>
              </w:tc>
            </w:tr>
            <w:tr w14:paraId="008FC3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7947E3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75C035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vMerge w:val="continue"/>
                  <w:tcBorders>
                    <w:tl2br w:val="nil"/>
                    <w:tr2bl w:val="nil"/>
                  </w:tcBorders>
                  <w:shd w:val="clear" w:color="auto" w:fill="auto"/>
                  <w:vAlign w:val="center"/>
                </w:tcPr>
                <w:p w14:paraId="2F338EE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2776" w:type="pct"/>
                  <w:tcBorders>
                    <w:tl2br w:val="nil"/>
                    <w:tr2bl w:val="nil"/>
                  </w:tcBorders>
                  <w:shd w:val="clear" w:color="auto" w:fill="auto"/>
                  <w:vAlign w:val="center"/>
                </w:tcPr>
                <w:p w14:paraId="377C580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kern w:val="0"/>
                      <w:szCs w:val="21"/>
                      <w:highlight w:val="none"/>
                      <w:lang w:eastAsia="zh-CN"/>
                      <w14:textFill>
                        <w14:solidFill>
                          <w14:schemeClr w14:val="tx1"/>
                        </w14:solidFill>
                      </w14:textFill>
                    </w:rPr>
                  </w:pPr>
                  <w:r>
                    <w:rPr>
                      <w:rFonts w:hint="eastAsia" w:ascii="Times New Roman" w:hAnsi="Times New Roman" w:eastAsia="宋体"/>
                      <w:color w:val="000000" w:themeColor="text1"/>
                      <w:kern w:val="0"/>
                      <w:szCs w:val="21"/>
                      <w:highlight w:val="none"/>
                      <w:lang w:eastAsia="zh-CN"/>
                      <w14:textFill>
                        <w14:solidFill>
                          <w14:schemeClr w14:val="tx1"/>
                        </w14:solidFill>
                      </w14:textFill>
                    </w:rPr>
                    <w:t>养护废水及浓水经沉淀池（</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10m</w:t>
                  </w:r>
                  <w:r>
                    <w:rPr>
                      <w:rFonts w:hint="eastAsia" w:ascii="Times New Roman" w:hAnsi="Times New Roman" w:eastAsia="宋体"/>
                      <w:color w:val="000000" w:themeColor="text1"/>
                      <w:kern w:val="0"/>
                      <w:szCs w:val="21"/>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kern w:val="0"/>
                      <w:szCs w:val="21"/>
                      <w:highlight w:val="none"/>
                      <w:lang w:eastAsia="zh-CN"/>
                      <w14:textFill>
                        <w14:solidFill>
                          <w14:schemeClr w14:val="tx1"/>
                        </w14:solidFill>
                      </w14:textFill>
                    </w:rPr>
                    <w:t>）处理后回用于洒水降尘等</w:t>
                  </w:r>
                </w:p>
              </w:tc>
              <w:tc>
                <w:tcPr>
                  <w:tcW w:w="631" w:type="pct"/>
                  <w:tcBorders>
                    <w:tl2br w:val="nil"/>
                    <w:tr2bl w:val="nil"/>
                  </w:tcBorders>
                  <w:shd w:val="clear" w:color="auto" w:fill="auto"/>
                  <w:vAlign w:val="center"/>
                </w:tcPr>
                <w:p w14:paraId="7A4FFC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615538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183A24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56531A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vMerge w:val="continue"/>
                  <w:tcBorders>
                    <w:tl2br w:val="nil"/>
                    <w:tr2bl w:val="nil"/>
                  </w:tcBorders>
                  <w:shd w:val="clear" w:color="auto" w:fill="auto"/>
                  <w:vAlign w:val="center"/>
                </w:tcPr>
                <w:p w14:paraId="259D253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776" w:type="pct"/>
                  <w:tcBorders>
                    <w:tl2br w:val="nil"/>
                    <w:tr2bl w:val="nil"/>
                  </w:tcBorders>
                  <w:shd w:val="clear" w:color="auto" w:fill="auto"/>
                  <w:vAlign w:val="center"/>
                </w:tcPr>
                <w:p w14:paraId="226783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运输车辆冲洗废水</w:t>
                  </w:r>
                  <w:r>
                    <w:rPr>
                      <w:rFonts w:hint="eastAsia" w:ascii="Times New Roman" w:hAnsi="Times New Roman" w:eastAsia="宋体"/>
                      <w:color w:val="000000" w:themeColor="text1"/>
                      <w:kern w:val="0"/>
                      <w:szCs w:val="21"/>
                      <w:highlight w:val="none"/>
                      <w14:textFill>
                        <w14:solidFill>
                          <w14:schemeClr w14:val="tx1"/>
                        </w14:solidFill>
                      </w14:textFill>
                    </w:rPr>
                    <w:t>：经隔油沉淀池（6m</w:t>
                  </w:r>
                  <w:r>
                    <w:rPr>
                      <w:rFonts w:hint="eastAsia" w:ascii="Times New Roman" w:hAnsi="Times New Roman" w:eastAsia="宋体"/>
                      <w:color w:val="000000" w:themeColor="text1"/>
                      <w:kern w:val="0"/>
                      <w:szCs w:val="21"/>
                      <w:highlight w:val="none"/>
                      <w:vertAlign w:val="superscript"/>
                      <w14:textFill>
                        <w14:solidFill>
                          <w14:schemeClr w14:val="tx1"/>
                        </w14:solidFill>
                      </w14:textFill>
                    </w:rPr>
                    <w:t>3</w:t>
                  </w:r>
                  <w:r>
                    <w:rPr>
                      <w:rFonts w:hint="eastAsia" w:ascii="Times New Roman" w:hAnsi="Times New Roman" w:eastAsia="宋体"/>
                      <w:color w:val="000000" w:themeColor="text1"/>
                      <w:kern w:val="0"/>
                      <w:szCs w:val="21"/>
                      <w:highlight w:val="none"/>
                      <w14:textFill>
                        <w14:solidFill>
                          <w14:schemeClr w14:val="tx1"/>
                        </w14:solidFill>
                      </w14:textFill>
                    </w:rPr>
                    <w:t>）处理后用于洗车</w:t>
                  </w:r>
                </w:p>
              </w:tc>
              <w:tc>
                <w:tcPr>
                  <w:tcW w:w="631" w:type="pct"/>
                  <w:tcBorders>
                    <w:tl2br w:val="nil"/>
                    <w:tr2bl w:val="nil"/>
                  </w:tcBorders>
                  <w:shd w:val="clear" w:color="auto" w:fill="auto"/>
                  <w:vAlign w:val="center"/>
                </w:tcPr>
                <w:p w14:paraId="2B079E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51E0EE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37F0A9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B87B9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14C7131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雨水</w:t>
                  </w:r>
                </w:p>
              </w:tc>
              <w:tc>
                <w:tcPr>
                  <w:tcW w:w="2776" w:type="pct"/>
                  <w:tcBorders>
                    <w:tl2br w:val="nil"/>
                    <w:tr2bl w:val="nil"/>
                  </w:tcBorders>
                  <w:shd w:val="clear" w:color="auto" w:fill="auto"/>
                  <w:vAlign w:val="center"/>
                </w:tcPr>
                <w:p w14:paraId="285B9A3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14:textFill>
                        <w14:solidFill>
                          <w14:schemeClr w14:val="tx1"/>
                        </w14:solidFill>
                      </w14:textFill>
                    </w:rPr>
                    <w:t>进入经</w:t>
                  </w:r>
                  <w:r>
                    <w:rPr>
                      <w:rFonts w:hint="eastAsia" w:ascii="Times New Roman" w:hAnsi="Times New Roman" w:eastAsia="宋体"/>
                      <w:color w:val="000000" w:themeColor="text1"/>
                      <w:kern w:val="0"/>
                      <w:szCs w:val="21"/>
                      <w:highlight w:val="none"/>
                      <w:lang w:eastAsia="zh-CN"/>
                      <w14:textFill>
                        <w14:solidFill>
                          <w14:schemeClr w14:val="tx1"/>
                        </w14:solidFill>
                      </w14:textFill>
                    </w:rPr>
                    <w:t>雨水收集池</w:t>
                  </w:r>
                  <w:r>
                    <w:rPr>
                      <w:rFonts w:ascii="Times New Roman" w:hAnsi="Times New Roman" w:eastAsia="宋体"/>
                      <w:color w:val="000000" w:themeColor="text1"/>
                      <w:kern w:val="0"/>
                      <w:szCs w:val="21"/>
                      <w:highlight w:val="none"/>
                      <w14:textFill>
                        <w14:solidFill>
                          <w14:schemeClr w14:val="tx1"/>
                        </w14:solidFill>
                      </w14:textFill>
                    </w:rPr>
                    <w:t>池沉淀</w:t>
                  </w:r>
                  <w:r>
                    <w:rPr>
                      <w:rFonts w:hint="eastAsia" w:ascii="Times New Roman" w:hAnsi="Times New Roman" w:eastAsia="宋体"/>
                      <w:color w:val="000000" w:themeColor="text1"/>
                      <w:kern w:val="0"/>
                      <w:szCs w:val="21"/>
                      <w:highlight w:val="none"/>
                      <w14:textFill>
                        <w14:solidFill>
                          <w14:schemeClr w14:val="tx1"/>
                        </w14:solidFill>
                      </w14:textFill>
                    </w:rPr>
                    <w:t>（容积</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200</w:t>
                  </w:r>
                  <w:r>
                    <w:rPr>
                      <w:rFonts w:hint="eastAsia" w:ascii="Times New Roman" w:hAnsi="Times New Roman" w:eastAsia="宋体"/>
                      <w:color w:val="000000" w:themeColor="text1"/>
                      <w:kern w:val="0"/>
                      <w:szCs w:val="21"/>
                      <w:highlight w:val="none"/>
                      <w14:textFill>
                        <w14:solidFill>
                          <w14:schemeClr w14:val="tx1"/>
                        </w14:solidFill>
                      </w14:textFill>
                    </w:rPr>
                    <w:t>m</w:t>
                  </w:r>
                  <w:r>
                    <w:rPr>
                      <w:rFonts w:hint="eastAsia" w:ascii="Times New Roman" w:hAnsi="Times New Roman" w:eastAsia="宋体"/>
                      <w:color w:val="000000" w:themeColor="text1"/>
                      <w:kern w:val="0"/>
                      <w:szCs w:val="21"/>
                      <w:highlight w:val="none"/>
                      <w:vertAlign w:val="superscript"/>
                      <w14:textFill>
                        <w14:solidFill>
                          <w14:schemeClr w14:val="tx1"/>
                        </w14:solidFill>
                      </w14:textFill>
                    </w:rPr>
                    <w:t>3</w:t>
                  </w:r>
                  <w:r>
                    <w:rPr>
                      <w:rFonts w:hint="eastAsia" w:ascii="Times New Roman" w:hAnsi="Times New Roman" w:eastAsia="宋体"/>
                      <w:color w:val="000000" w:themeColor="text1"/>
                      <w:kern w:val="0"/>
                      <w:szCs w:val="21"/>
                      <w:highlight w:val="none"/>
                      <w14:textFill>
                        <w14:solidFill>
                          <w14:schemeClr w14:val="tx1"/>
                        </w14:solidFill>
                      </w14:textFill>
                    </w:rPr>
                    <w:t>）</w:t>
                  </w:r>
                  <w:r>
                    <w:rPr>
                      <w:rFonts w:ascii="Times New Roman" w:hAnsi="Times New Roman" w:eastAsia="宋体"/>
                      <w:color w:val="000000" w:themeColor="text1"/>
                      <w:kern w:val="0"/>
                      <w:szCs w:val="21"/>
                      <w:highlight w:val="none"/>
                      <w14:textFill>
                        <w14:solidFill>
                          <w14:schemeClr w14:val="tx1"/>
                        </w14:solidFill>
                      </w14:textFill>
                    </w:rPr>
                    <w:t>处理后回用</w:t>
                  </w:r>
                </w:p>
              </w:tc>
              <w:tc>
                <w:tcPr>
                  <w:tcW w:w="631" w:type="pct"/>
                  <w:tcBorders>
                    <w:tl2br w:val="nil"/>
                    <w:tr2bl w:val="nil"/>
                  </w:tcBorders>
                  <w:shd w:val="clear" w:color="auto" w:fill="auto"/>
                  <w:vAlign w:val="center"/>
                </w:tcPr>
                <w:p w14:paraId="268675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4.0</w:t>
                  </w:r>
                </w:p>
              </w:tc>
            </w:tr>
            <w:tr w14:paraId="542F54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50694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424261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噪声治理</w:t>
                  </w:r>
                </w:p>
              </w:tc>
              <w:tc>
                <w:tcPr>
                  <w:tcW w:w="3756" w:type="pct"/>
                  <w:gridSpan w:val="2"/>
                  <w:tcBorders>
                    <w:tl2br w:val="nil"/>
                    <w:tr2bl w:val="nil"/>
                  </w:tcBorders>
                  <w:shd w:val="clear" w:color="auto" w:fill="auto"/>
                  <w:vAlign w:val="center"/>
                </w:tcPr>
                <w:p w14:paraId="48AA8F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选用低噪声设备、基础减震、厂房隔声、距离衰减、合理安排生产时间等</w:t>
                  </w:r>
                </w:p>
              </w:tc>
              <w:tc>
                <w:tcPr>
                  <w:tcW w:w="631" w:type="pct"/>
                  <w:tcBorders>
                    <w:tl2br w:val="nil"/>
                    <w:tr2bl w:val="nil"/>
                  </w:tcBorders>
                  <w:shd w:val="clear" w:color="auto" w:fill="auto"/>
                  <w:vAlign w:val="center"/>
                </w:tcPr>
                <w:p w14:paraId="7AF1C9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2.0</w:t>
                  </w:r>
                </w:p>
              </w:tc>
            </w:tr>
            <w:tr w14:paraId="44CA1E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500CEE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restart"/>
                  <w:tcBorders>
                    <w:tl2br w:val="nil"/>
                    <w:tr2bl w:val="nil"/>
                  </w:tcBorders>
                  <w:shd w:val="clear" w:color="auto" w:fill="auto"/>
                  <w:vAlign w:val="center"/>
                </w:tcPr>
                <w:p w14:paraId="198995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固体废物</w:t>
                  </w:r>
                </w:p>
              </w:tc>
              <w:tc>
                <w:tcPr>
                  <w:tcW w:w="979" w:type="pct"/>
                  <w:tcBorders>
                    <w:tl2br w:val="nil"/>
                    <w:tr2bl w:val="nil"/>
                  </w:tcBorders>
                  <w:shd w:val="clear" w:color="auto" w:fill="auto"/>
                  <w:vAlign w:val="center"/>
                </w:tcPr>
                <w:p w14:paraId="038063B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生活垃圾</w:t>
                  </w:r>
                </w:p>
              </w:tc>
              <w:tc>
                <w:tcPr>
                  <w:tcW w:w="2776" w:type="pct"/>
                  <w:tcBorders>
                    <w:tl2br w:val="nil"/>
                    <w:tr2bl w:val="nil"/>
                  </w:tcBorders>
                  <w:shd w:val="clear" w:color="auto" w:fill="auto"/>
                  <w:vAlign w:val="center"/>
                </w:tcPr>
                <w:p w14:paraId="64188E3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生活垃圾由垃圾桶收集，交环卫部门转运处置；</w:t>
                  </w:r>
                </w:p>
              </w:tc>
              <w:tc>
                <w:tcPr>
                  <w:tcW w:w="631" w:type="pct"/>
                  <w:tcBorders>
                    <w:tl2br w:val="nil"/>
                    <w:tr2bl w:val="nil"/>
                  </w:tcBorders>
                  <w:shd w:val="clear" w:color="auto" w:fill="auto"/>
                  <w:vAlign w:val="center"/>
                </w:tcPr>
                <w:p w14:paraId="4D0FE2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3C6687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570F3F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434B0D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6D2B5A6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餐厨垃圾</w:t>
                  </w:r>
                </w:p>
              </w:tc>
              <w:tc>
                <w:tcPr>
                  <w:tcW w:w="2776" w:type="pct"/>
                  <w:tcBorders>
                    <w:tl2br w:val="nil"/>
                    <w:tr2bl w:val="nil"/>
                  </w:tcBorders>
                  <w:shd w:val="clear" w:color="auto" w:fill="auto"/>
                  <w:vAlign w:val="center"/>
                </w:tcPr>
                <w:p w14:paraId="0D88EF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专用容器收集，日产日清，交由具有餐厨垃圾处置资质单位处置</w:t>
                  </w:r>
                </w:p>
              </w:tc>
              <w:tc>
                <w:tcPr>
                  <w:tcW w:w="631" w:type="pct"/>
                  <w:tcBorders>
                    <w:tl2br w:val="nil"/>
                    <w:tr2bl w:val="nil"/>
                  </w:tcBorders>
                  <w:shd w:val="clear" w:color="auto" w:fill="auto"/>
                  <w:vAlign w:val="center"/>
                </w:tcPr>
                <w:p w14:paraId="32EA78E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682D48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87537C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CBE65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7EE09A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油水分离器废油</w:t>
                  </w:r>
                </w:p>
              </w:tc>
              <w:tc>
                <w:tcPr>
                  <w:tcW w:w="2776" w:type="pct"/>
                  <w:tcBorders>
                    <w:tl2br w:val="nil"/>
                    <w:tr2bl w:val="nil"/>
                  </w:tcBorders>
                  <w:shd w:val="clear" w:color="auto" w:fill="auto"/>
                  <w:vAlign w:val="center"/>
                </w:tcPr>
                <w:p w14:paraId="4E7067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交由具有餐厨垃圾处置资质单位处置</w:t>
                  </w:r>
                </w:p>
              </w:tc>
              <w:tc>
                <w:tcPr>
                  <w:tcW w:w="631" w:type="pct"/>
                  <w:tcBorders>
                    <w:tl2br w:val="nil"/>
                    <w:tr2bl w:val="nil"/>
                  </w:tcBorders>
                  <w:shd w:val="clear" w:color="auto" w:fill="auto"/>
                  <w:vAlign w:val="center"/>
                </w:tcPr>
                <w:p w14:paraId="6CDA2B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2C5CBC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BBF2F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4B7094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5DCE5E8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收尘系统收集的粉尘</w:t>
                  </w:r>
                </w:p>
              </w:tc>
              <w:tc>
                <w:tcPr>
                  <w:tcW w:w="2776" w:type="pct"/>
                  <w:tcBorders>
                    <w:tl2br w:val="nil"/>
                    <w:tr2bl w:val="nil"/>
                  </w:tcBorders>
                  <w:shd w:val="clear" w:color="auto" w:fill="auto"/>
                  <w:vAlign w:val="center"/>
                </w:tcPr>
                <w:p w14:paraId="25DADBC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收集后回用于生产</w:t>
                  </w:r>
                </w:p>
              </w:tc>
              <w:tc>
                <w:tcPr>
                  <w:tcW w:w="631" w:type="pct"/>
                  <w:tcBorders>
                    <w:tl2br w:val="nil"/>
                    <w:tr2bl w:val="nil"/>
                  </w:tcBorders>
                  <w:shd w:val="clear" w:color="auto" w:fill="auto"/>
                  <w:vAlign w:val="center"/>
                </w:tcPr>
                <w:p w14:paraId="314B7E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w:t>
                  </w:r>
                </w:p>
              </w:tc>
            </w:tr>
            <w:tr w14:paraId="47D82C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720FFC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0F6CE9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2DE448E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沉淀池污泥</w:t>
                  </w: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（压滤泥饼）</w:t>
                  </w:r>
                </w:p>
              </w:tc>
              <w:tc>
                <w:tcPr>
                  <w:tcW w:w="2776" w:type="pct"/>
                  <w:vMerge w:val="restart"/>
                  <w:tcBorders>
                    <w:tl2br w:val="nil"/>
                    <w:tr2bl w:val="nil"/>
                  </w:tcBorders>
                  <w:shd w:val="clear" w:color="auto" w:fill="auto"/>
                  <w:vAlign w:val="center"/>
                </w:tcPr>
                <w:p w14:paraId="6604FA9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收集后清运至</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G42线南充至成都段高速公路扩容工程弃渣场（经纬度：105.5903，30.6304）</w:t>
                  </w:r>
                </w:p>
              </w:tc>
              <w:tc>
                <w:tcPr>
                  <w:tcW w:w="631" w:type="pct"/>
                  <w:vMerge w:val="restart"/>
                  <w:tcBorders>
                    <w:tl2br w:val="nil"/>
                    <w:tr2bl w:val="nil"/>
                  </w:tcBorders>
                  <w:shd w:val="clear" w:color="auto" w:fill="auto"/>
                  <w:vAlign w:val="center"/>
                </w:tcPr>
                <w:p w14:paraId="12D7DA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2</w:t>
                  </w: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.5</w:t>
                  </w:r>
                </w:p>
              </w:tc>
            </w:tr>
            <w:tr w14:paraId="3BDA6A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428FF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627DA4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70E38D4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检验室硬化混凝土块</w:t>
                  </w:r>
                </w:p>
              </w:tc>
              <w:tc>
                <w:tcPr>
                  <w:tcW w:w="2776" w:type="pct"/>
                  <w:vMerge w:val="continue"/>
                  <w:tcBorders>
                    <w:tl2br w:val="nil"/>
                    <w:tr2bl w:val="nil"/>
                  </w:tcBorders>
                  <w:shd w:val="clear" w:color="auto" w:fill="auto"/>
                  <w:vAlign w:val="center"/>
                </w:tcPr>
                <w:p w14:paraId="4F2AD41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shd w:val="clear" w:color="auto" w:fill="auto"/>
                  <w:vAlign w:val="center"/>
                </w:tcPr>
                <w:p w14:paraId="5A69B1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p>
              </w:tc>
            </w:tr>
            <w:tr w14:paraId="253CE4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5D5DCA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0532D0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385F8D1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危险废物</w:t>
                  </w:r>
                </w:p>
              </w:tc>
              <w:tc>
                <w:tcPr>
                  <w:tcW w:w="2776" w:type="pct"/>
                  <w:tcBorders>
                    <w:tl2br w:val="nil"/>
                    <w:tr2bl w:val="nil"/>
                  </w:tcBorders>
                  <w:shd w:val="clear" w:color="auto" w:fill="auto"/>
                  <w:vAlign w:val="center"/>
                </w:tcPr>
                <w:p w14:paraId="0E6E23A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暂存于危废暂存间，定期交由有资质的单位进行处理</w:t>
                  </w:r>
                </w:p>
              </w:tc>
              <w:tc>
                <w:tcPr>
                  <w:tcW w:w="631" w:type="pct"/>
                  <w:tcBorders>
                    <w:tl2br w:val="nil"/>
                    <w:tr2bl w:val="nil"/>
                  </w:tcBorders>
                  <w:shd w:val="clear" w:color="auto" w:fill="auto"/>
                  <w:vAlign w:val="center"/>
                </w:tcPr>
                <w:p w14:paraId="2D6041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3</w:t>
                  </w:r>
                  <w:r>
                    <w:rPr>
                      <w:rFonts w:hint="eastAsia" w:ascii="Times New Roman" w:hAnsi="Times New Roman" w:eastAsia="宋体"/>
                      <w:snapToGrid w:val="0"/>
                      <w:color w:val="000000" w:themeColor="text1"/>
                      <w:kern w:val="0"/>
                      <w:szCs w:val="21"/>
                      <w:highlight w:val="none"/>
                      <w14:textFill>
                        <w14:solidFill>
                          <w14:schemeClr w14:val="tx1"/>
                        </w14:solidFill>
                      </w14:textFill>
                    </w:rPr>
                    <w:t>.0</w:t>
                  </w:r>
                </w:p>
              </w:tc>
            </w:tr>
            <w:tr w14:paraId="566EEE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50E59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1743A1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地下水防治</w:t>
                  </w:r>
                </w:p>
              </w:tc>
              <w:tc>
                <w:tcPr>
                  <w:tcW w:w="3756" w:type="pct"/>
                  <w:gridSpan w:val="2"/>
                  <w:tcBorders>
                    <w:tl2br w:val="nil"/>
                    <w:tr2bl w:val="nil"/>
                  </w:tcBorders>
                  <w:shd w:val="clear" w:color="auto" w:fill="auto"/>
                  <w:vAlign w:val="center"/>
                </w:tcPr>
                <w:p w14:paraId="5C3FCF2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分区防渗。重点防渗区</w:t>
                  </w:r>
                  <w:r>
                    <w:rPr>
                      <w:rFonts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危废暂存间</w:t>
                  </w:r>
                  <w:r>
                    <w:rPr>
                      <w:rFonts w:ascii="Times New Roman" w:hAnsi="Times New Roman" w:eastAsia="宋体"/>
                      <w:color w:val="000000" w:themeColor="text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Mb≥6m，</w:t>
                  </w:r>
                  <w:r>
                    <w:rPr>
                      <w:rFonts w:ascii="Times New Roman" w:hAnsi="Times New Roman" w:eastAsia="宋体"/>
                      <w:color w:val="000000" w:themeColor="text1"/>
                      <w:szCs w:val="21"/>
                      <w:highlight w:val="none"/>
                      <w14:textFill>
                        <w14:solidFill>
                          <w14:schemeClr w14:val="tx1"/>
                        </w14:solidFill>
                      </w14:textFill>
                    </w:rPr>
                    <w:t>渗透系数≤10</w:t>
                  </w:r>
                  <w:r>
                    <w:rPr>
                      <w:rFonts w:ascii="Times New Roman" w:hAnsi="Times New Roman" w:eastAsia="宋体"/>
                      <w:color w:val="000000" w:themeColor="text1"/>
                      <w:szCs w:val="21"/>
                      <w:highlight w:val="none"/>
                      <w:vertAlign w:val="superscript"/>
                      <w14:textFill>
                        <w14:solidFill>
                          <w14:schemeClr w14:val="tx1"/>
                        </w14:solidFill>
                      </w14:textFill>
                    </w:rPr>
                    <w:t>-10</w:t>
                  </w:r>
                  <w:r>
                    <w:rPr>
                      <w:rFonts w:ascii="Times New Roman" w:hAnsi="Times New Roman" w:eastAsia="宋体"/>
                      <w:color w:val="000000" w:themeColor="text1"/>
                      <w:szCs w:val="21"/>
                      <w:highlight w:val="none"/>
                      <w14:textFill>
                        <w14:solidFill>
                          <w14:schemeClr w14:val="tx1"/>
                        </w14:solidFill>
                      </w14:textFill>
                    </w:rPr>
                    <w:t>cm/s</w:t>
                  </w:r>
                  <w:r>
                    <w:rPr>
                      <w:rFonts w:hint="eastAsia" w:ascii="Times New Roman" w:hAnsi="Times New Roman" w:eastAsia="宋体"/>
                      <w:color w:val="000000" w:themeColor="text1"/>
                      <w:szCs w:val="21"/>
                      <w:highlight w:val="none"/>
                      <w:lang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Mb≥6m，</w:t>
                  </w:r>
                  <w:r>
                    <w:rPr>
                      <w:rFonts w:ascii="Times New Roman" w:hAnsi="Times New Roman" w:eastAsia="宋体"/>
                      <w:color w:val="000000" w:themeColor="text1"/>
                      <w:szCs w:val="21"/>
                      <w:highlight w:val="none"/>
                      <w14:textFill>
                        <w14:solidFill>
                          <w14:schemeClr w14:val="tx1"/>
                        </w14:solidFill>
                      </w14:textFill>
                    </w:rPr>
                    <w:t>渗透系数≤10</w:t>
                  </w:r>
                  <w:r>
                    <w:rPr>
                      <w:rFonts w:ascii="Times New Roman" w:hAnsi="Times New Roman" w:eastAsia="宋体"/>
                      <w:color w:val="000000" w:themeColor="text1"/>
                      <w:szCs w:val="21"/>
                      <w:highlight w:val="none"/>
                      <w:vertAlign w:val="superscript"/>
                      <w14:textFill>
                        <w14:solidFill>
                          <w14:schemeClr w14:val="tx1"/>
                        </w14:solidFill>
                      </w14:textFill>
                    </w:rPr>
                    <w:t>-</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7</w:t>
                  </w:r>
                  <w:r>
                    <w:rPr>
                      <w:rFonts w:ascii="Times New Roman" w:hAnsi="Times New Roman" w:eastAsia="宋体"/>
                      <w:color w:val="000000" w:themeColor="text1"/>
                      <w:szCs w:val="21"/>
                      <w:highlight w:val="none"/>
                      <w14:textFill>
                        <w14:solidFill>
                          <w14:schemeClr w14:val="tx1"/>
                        </w14:solidFill>
                      </w14:textFill>
                    </w:rPr>
                    <w:t>cm/s）；一般防渗</w:t>
                  </w:r>
                  <w:r>
                    <w:rPr>
                      <w:rFonts w:hint="eastAsia" w:ascii="Times New Roman" w:hAnsi="Times New Roman" w:eastAsia="宋体"/>
                      <w:color w:val="000000" w:themeColor="text1"/>
                      <w:szCs w:val="21"/>
                      <w:highlight w:val="none"/>
                      <w:lang w:eastAsia="zh-CN"/>
                      <w14:textFill>
                        <w14:solidFill>
                          <w14:schemeClr w14:val="tx1"/>
                        </w14:solidFill>
                      </w14:textFill>
                    </w:rPr>
                    <w:t>区</w:t>
                  </w:r>
                  <w:r>
                    <w:rPr>
                      <w:rFonts w:ascii="Times New Roman" w:hAnsi="Times New Roman" w:eastAsia="宋体"/>
                      <w:color w:val="000000" w:themeColor="text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生产区地面（拌合</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区、钢筋加工场、预制梁场</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）、沉淀水池、</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、雨水收集池底部以及四周</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Mb≥</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ascii="Times New Roman" w:hAnsi="Times New Roman" w:eastAsia="宋体"/>
                      <w:color w:val="000000" w:themeColor="text1"/>
                      <w:szCs w:val="21"/>
                      <w:highlight w:val="none"/>
                      <w14:textFill>
                        <w14:solidFill>
                          <w14:schemeClr w14:val="tx1"/>
                        </w14:solidFill>
                      </w14:textFill>
                    </w:rPr>
                    <w:t>渗透系数≤10</w:t>
                  </w:r>
                  <w:r>
                    <w:rPr>
                      <w:rFonts w:ascii="Times New Roman" w:hAnsi="Times New Roman" w:eastAsia="宋体"/>
                      <w:color w:val="000000" w:themeColor="text1"/>
                      <w:szCs w:val="21"/>
                      <w:highlight w:val="none"/>
                      <w:vertAlign w:val="superscript"/>
                      <w14:textFill>
                        <w14:solidFill>
                          <w14:schemeClr w14:val="tx1"/>
                        </w14:solidFill>
                      </w14:textFill>
                    </w:rPr>
                    <w:t>-</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7</w:t>
                  </w:r>
                  <w:r>
                    <w:rPr>
                      <w:rFonts w:ascii="Times New Roman" w:hAnsi="Times New Roman" w:eastAsia="宋体"/>
                      <w:color w:val="000000" w:themeColor="text1"/>
                      <w:szCs w:val="21"/>
                      <w:highlight w:val="none"/>
                      <w14:textFill>
                        <w14:solidFill>
                          <w14:schemeClr w14:val="tx1"/>
                        </w14:solidFill>
                      </w14:textFill>
                    </w:rPr>
                    <w:t>cm/s）；</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料仓地面、办公生活区域、厂内道路</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等</w:t>
                  </w:r>
                  <w:r>
                    <w:rPr>
                      <w:rFonts w:ascii="Times New Roman" w:hAnsi="Times New Roman" w:eastAsia="宋体"/>
                      <w:color w:val="000000" w:themeColor="text1"/>
                      <w:szCs w:val="21"/>
                      <w:highlight w:val="none"/>
                      <w14:textFill>
                        <w14:solidFill>
                          <w14:schemeClr w14:val="tx1"/>
                        </w14:solidFill>
                      </w14:textFill>
                    </w:rPr>
                    <w:t>其他地面做简单防渗，进行一般地面硬化处理</w:t>
                  </w:r>
                </w:p>
              </w:tc>
              <w:tc>
                <w:tcPr>
                  <w:tcW w:w="631" w:type="pct"/>
                  <w:tcBorders>
                    <w:tl2br w:val="nil"/>
                    <w:tr2bl w:val="nil"/>
                  </w:tcBorders>
                  <w:shd w:val="clear" w:color="auto" w:fill="auto"/>
                  <w:vAlign w:val="center"/>
                </w:tcPr>
                <w:p w14:paraId="637D01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w:t>
                  </w:r>
                  <w:r>
                    <w:rPr>
                      <w:rFonts w:ascii="Times New Roman" w:hAnsi="Times New Roman" w:eastAsia="宋体"/>
                      <w:snapToGrid w:val="0"/>
                      <w:color w:val="000000" w:themeColor="text1"/>
                      <w:kern w:val="0"/>
                      <w:szCs w:val="21"/>
                      <w:highlight w:val="none"/>
                      <w14:textFill>
                        <w14:solidFill>
                          <w14:schemeClr w14:val="tx1"/>
                        </w14:solidFill>
                      </w14:textFill>
                    </w:rPr>
                    <w:t>.0</w:t>
                  </w:r>
                </w:p>
              </w:tc>
            </w:tr>
            <w:tr w14:paraId="73FF41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0D9DE42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23A0B9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环境风险</w:t>
                  </w:r>
                </w:p>
              </w:tc>
              <w:tc>
                <w:tcPr>
                  <w:tcW w:w="3756" w:type="pct"/>
                  <w:gridSpan w:val="2"/>
                  <w:tcBorders>
                    <w:tl2br w:val="nil"/>
                    <w:tr2bl w:val="nil"/>
                  </w:tcBorders>
                  <w:shd w:val="clear" w:color="auto" w:fill="auto"/>
                  <w:vAlign w:val="center"/>
                </w:tcPr>
                <w:p w14:paraId="75E2D7B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加强管理及巡查，定期对设备进行维护保养</w:t>
                  </w:r>
                </w:p>
              </w:tc>
              <w:tc>
                <w:tcPr>
                  <w:tcW w:w="631" w:type="pct"/>
                  <w:tcBorders>
                    <w:tl2br w:val="nil"/>
                    <w:tr2bl w:val="nil"/>
                  </w:tcBorders>
                  <w:shd w:val="clear" w:color="auto" w:fill="auto"/>
                  <w:vAlign w:val="center"/>
                </w:tcPr>
                <w:p w14:paraId="4B2E19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1.0</w:t>
                  </w:r>
                </w:p>
              </w:tc>
            </w:tr>
            <w:tr w14:paraId="3766AB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68" w:type="pct"/>
                  <w:gridSpan w:val="4"/>
                  <w:tcBorders>
                    <w:tl2br w:val="nil"/>
                    <w:tr2bl w:val="nil"/>
                  </w:tcBorders>
                  <w:shd w:val="clear" w:color="auto" w:fill="auto"/>
                  <w:vAlign w:val="center"/>
                </w:tcPr>
                <w:p w14:paraId="5D6929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合计</w:t>
                  </w:r>
                </w:p>
              </w:tc>
              <w:tc>
                <w:tcPr>
                  <w:tcW w:w="631" w:type="pct"/>
                  <w:tcBorders>
                    <w:tl2br w:val="nil"/>
                    <w:tr2bl w:val="nil"/>
                  </w:tcBorders>
                  <w:shd w:val="clear" w:color="auto" w:fill="auto"/>
                  <w:vAlign w:val="center"/>
                </w:tcPr>
                <w:p w14:paraId="5075DB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90.4</w:t>
                  </w:r>
                </w:p>
              </w:tc>
            </w:tr>
          </w:tbl>
          <w:p w14:paraId="2470AA5C">
            <w:pPr>
              <w:pStyle w:val="10"/>
              <w:spacing w:after="0" w:line="500" w:lineRule="exact"/>
              <w:ind w:left="0" w:leftChars="0" w:right="0" w:rightChars="0" w:firstLine="420" w:firstLineChars="200"/>
              <w:rPr>
                <w:color w:val="000000" w:themeColor="text1"/>
                <w:highlight w:val="none"/>
                <w14:textFill>
                  <w14:solidFill>
                    <w14:schemeClr w14:val="tx1"/>
                  </w14:solidFill>
                </w14:textFill>
              </w:rPr>
            </w:pPr>
          </w:p>
        </w:tc>
      </w:tr>
      <w:tr w14:paraId="298E3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14:paraId="0DDA429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s="Times New Roman"/>
                <w:bCs/>
                <w:color w:val="000000" w:themeColor="text1"/>
                <w:spacing w:val="10"/>
                <w:kern w:val="2"/>
                <w:sz w:val="24"/>
                <w:szCs w:val="24"/>
                <w:highlight w:val="none"/>
                <w:lang w:val="en-US" w:eastAsia="zh-CN" w:bidi="ar-SA"/>
                <w14:textFill>
                  <w14:solidFill>
                    <w14:schemeClr w14:val="tx1"/>
                  </w14:solidFill>
                </w14:textFill>
              </w:rPr>
              <w:t>退役期</w:t>
            </w:r>
            <w:r>
              <w:rPr>
                <w:rFonts w:hint="eastAsia"/>
                <w:bCs/>
                <w:color w:val="000000" w:themeColor="text1"/>
                <w:spacing w:val="10"/>
                <w:sz w:val="24"/>
                <w:szCs w:val="24"/>
                <w:highlight w:val="none"/>
                <w14:textFill>
                  <w14:solidFill>
                    <w14:schemeClr w14:val="tx1"/>
                  </w14:solidFill>
                </w14:textFill>
              </w:rPr>
              <w:t>环境影响和环境保护措施</w:t>
            </w:r>
          </w:p>
        </w:tc>
        <w:tc>
          <w:tcPr>
            <w:tcW w:w="4015" w:type="pct"/>
          </w:tcPr>
          <w:p w14:paraId="76DEB3C9">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本项目为成南高速公路扩容工程项目LJ</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标段配套项目，服务期至成南高速公路扩容工程项目LJ</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标段施工结束，预计服务期为3年，2022年</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月~2025年</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月，</w:t>
            </w:r>
            <w:r>
              <w:rPr>
                <w:rFonts w:hint="eastAsia"/>
                <w:color w:val="000000" w:themeColor="text1"/>
                <w:sz w:val="24"/>
                <w:szCs w:val="24"/>
                <w:highlight w:val="none"/>
                <w:lang w:eastAsia="zh-CN"/>
                <w14:textFill>
                  <w14:solidFill>
                    <w14:schemeClr w14:val="tx1"/>
                  </w14:solidFill>
                </w14:textFill>
              </w:rPr>
              <w:t>项目</w:t>
            </w:r>
            <w:r>
              <w:rPr>
                <w:rFonts w:hint="eastAsia"/>
                <w:color w:val="000000" w:themeColor="text1"/>
                <w:sz w:val="24"/>
                <w:szCs w:val="24"/>
                <w:highlight w:val="none"/>
                <w14:textFill>
                  <w14:solidFill>
                    <w14:schemeClr w14:val="tx1"/>
                  </w14:solidFill>
                </w14:textFill>
              </w:rPr>
              <w:t>在服务期满后</w:t>
            </w:r>
            <w:r>
              <w:rPr>
                <w:rFonts w:hint="eastAsia"/>
                <w:color w:val="000000" w:themeColor="text1"/>
                <w:sz w:val="24"/>
                <w:szCs w:val="24"/>
                <w:highlight w:val="none"/>
                <w:lang w:eastAsia="zh-CN"/>
                <w14:textFill>
                  <w14:solidFill>
                    <w14:schemeClr w14:val="tx1"/>
                  </w14:solidFill>
                </w14:textFill>
              </w:rPr>
              <w:t>，由中交第三航务工程局有限公司负责对现场建构筑物（仅生产设备）进行</w:t>
            </w:r>
            <w:r>
              <w:rPr>
                <w:rFonts w:hint="eastAsia"/>
                <w:color w:val="000000" w:themeColor="text1"/>
                <w:sz w:val="24"/>
                <w:szCs w:val="24"/>
                <w:highlight w:val="none"/>
                <w14:textFill>
                  <w14:solidFill>
                    <w14:schemeClr w14:val="tx1"/>
                  </w14:solidFill>
                </w14:textFill>
              </w:rPr>
              <w:t>拆除</w:t>
            </w:r>
            <w:r>
              <w:rPr>
                <w:rFonts w:hint="eastAsia"/>
                <w:color w:val="000000" w:themeColor="text1"/>
                <w:sz w:val="24"/>
                <w:szCs w:val="24"/>
                <w:highlight w:val="none"/>
                <w:lang w:eastAsia="zh-CN"/>
                <w14:textFill>
                  <w14:solidFill>
                    <w14:schemeClr w14:val="tx1"/>
                  </w14:solidFill>
                </w14:textFill>
              </w:rPr>
              <w:t>。</w:t>
            </w:r>
          </w:p>
          <w:p w14:paraId="0CDCE06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本项目建设用地中部分为临时用地，用地性质为建设用地</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服务期满后仅需拆除现场生产设备，</w:t>
            </w:r>
            <w:r>
              <w:rPr>
                <w:rFonts w:hint="eastAsia" w:ascii="Times New Roman" w:hAnsi="Times New Roman" w:eastAsia="宋体"/>
                <w:color w:val="000000" w:themeColor="text1"/>
                <w:sz w:val="24"/>
                <w:highlight w:val="none"/>
                <w:lang w:eastAsia="zh-CN"/>
                <w14:textFill>
                  <w14:solidFill>
                    <w14:schemeClr w14:val="tx1"/>
                  </w14:solidFill>
                </w14:textFill>
              </w:rPr>
              <w:t>无需进行土地复垦</w:t>
            </w:r>
            <w:r>
              <w:rPr>
                <w:rFonts w:hint="eastAsia"/>
                <w:color w:val="000000" w:themeColor="text1"/>
                <w:sz w:val="24"/>
                <w:szCs w:val="24"/>
                <w:highlight w:val="none"/>
                <w14:textFill>
                  <w14:solidFill>
                    <w14:schemeClr w14:val="tx1"/>
                  </w14:solidFill>
                </w14:textFill>
              </w:rPr>
              <w:t>。</w:t>
            </w:r>
          </w:p>
          <w:p w14:paraId="0B487ED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1、废气</w:t>
            </w:r>
          </w:p>
          <w:p w14:paraId="34ACB51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生产构筑物</w:t>
            </w:r>
            <w:r>
              <w:rPr>
                <w:rFonts w:hint="eastAsia"/>
                <w:color w:val="000000" w:themeColor="text1"/>
                <w:sz w:val="24"/>
                <w:szCs w:val="24"/>
                <w:highlight w:val="none"/>
                <w14:textFill>
                  <w14:solidFill>
                    <w14:schemeClr w14:val="tx1"/>
                  </w14:solidFill>
                </w14:textFill>
              </w:rPr>
              <w:t>拆除及运输过程中会产生扬尘，建设单位应按本报告提出的施工期扬尘防治要求。建设单位应与施工单位签订协议，要求施工单位必须严格按照《防治城市扬尘污染技术规范》（HJ/T393-2007）进行施工，尽量减少扬尘对环境的影响，采取以下扬尘防治措施：</w:t>
            </w:r>
          </w:p>
          <w:p w14:paraId="3714E7BD">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kern w:val="0"/>
                <w:sz w:val="24"/>
                <w:szCs w:val="24"/>
                <w:highlight w:val="none"/>
                <w:lang w:eastAsia="zh-CN"/>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①封闭施工现场，以减少</w:t>
            </w:r>
            <w:r>
              <w:rPr>
                <w:rFonts w:hint="eastAsia" w:ascii="Times New Roman" w:hAnsi="Times New Roman" w:eastAsia="宋体" w:cs="Times New Roman"/>
                <w:bCs/>
                <w:color w:val="000000" w:themeColor="text1"/>
                <w:kern w:val="0"/>
                <w:sz w:val="24"/>
                <w:szCs w:val="24"/>
                <w:highlight w:val="none"/>
                <w:lang w:eastAsia="zh-CN"/>
                <w14:textFill>
                  <w14:solidFill>
                    <w14:schemeClr w14:val="tx1"/>
                  </w14:solidFill>
                </w14:textFill>
              </w:rPr>
              <w:t>施工</w:t>
            </w: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过程中的粉尘飞扬现象，降低粉尘向大气中的排放</w:t>
            </w:r>
            <w:r>
              <w:rPr>
                <w:rFonts w:hint="eastAsia" w:ascii="Times New Roman" w:hAnsi="Times New Roman" w:eastAsia="宋体" w:cs="Times New Roman"/>
                <w:bCs/>
                <w:color w:val="000000" w:themeColor="text1"/>
                <w:kern w:val="0"/>
                <w:sz w:val="24"/>
                <w:szCs w:val="24"/>
                <w:highlight w:val="none"/>
                <w:lang w:eastAsia="zh-CN"/>
                <w14:textFill>
                  <w14:solidFill>
                    <w14:schemeClr w14:val="tx1"/>
                  </w14:solidFill>
                </w14:textFill>
              </w:rPr>
              <w:t>。</w:t>
            </w:r>
          </w:p>
          <w:p w14:paraId="756D17AC">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②要求施工单位文明施工，定期对地面洒水</w:t>
            </w:r>
            <w:r>
              <w:rPr>
                <w:rFonts w:hint="eastAsia" w:ascii="Times New Roman" w:hAnsi="Times New Roman" w:eastAsia="宋体" w:cs="Times New Roman"/>
                <w:color w:val="000000" w:themeColor="text1"/>
                <w:sz w:val="24"/>
                <w:szCs w:val="24"/>
                <w:highlight w:val="none"/>
                <w14:textFill>
                  <w14:solidFill>
                    <w14:schemeClr w14:val="tx1"/>
                  </w14:solidFill>
                </w14:textFill>
              </w:rPr>
              <w:t>（每天</w:t>
            </w:r>
            <w:r>
              <w:rPr>
                <w:rFonts w:ascii="Times New Roman" w:hAnsi="Times New Roman" w:eastAsia="宋体" w:cs="Times New Roman"/>
                <w:color w:val="000000" w:themeColor="text1"/>
                <w:sz w:val="24"/>
                <w:szCs w:val="24"/>
                <w:highlight w:val="none"/>
                <w14:textFill>
                  <w14:solidFill>
                    <w14:schemeClr w14:val="tx1"/>
                  </w14:solidFill>
                </w14:textFill>
              </w:rPr>
              <w:t>不少于</w:t>
            </w:r>
            <w:r>
              <w:rPr>
                <w:rFonts w:hint="eastAsia" w:ascii="Times New Roman" w:hAnsi="Times New Roman" w:eastAsia="宋体" w:cs="Times New Roman"/>
                <w:color w:val="000000" w:themeColor="text1"/>
                <w:sz w:val="24"/>
                <w:szCs w:val="24"/>
                <w:highlight w:val="none"/>
                <w14:textFill>
                  <w14:solidFill>
                    <w14:schemeClr w14:val="tx1"/>
                  </w14:solidFill>
                </w14:textFill>
              </w:rPr>
              <w:t>8次）</w:t>
            </w: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，并对撒落在路面的渣土及时清除，清理阶段做到先洒水后清扫，避免产生扬尘对周边住户正常生活造成影响；</w:t>
            </w:r>
          </w:p>
          <w:p w14:paraId="1C5C236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③</w:t>
            </w:r>
            <w:r>
              <w:rPr>
                <w:rFonts w:ascii="Times New Roman" w:hAnsi="Times New Roman" w:eastAsia="宋体" w:cs="Times New Roman"/>
                <w:color w:val="000000" w:themeColor="text1"/>
                <w:sz w:val="24"/>
                <w:szCs w:val="24"/>
                <w:highlight w:val="none"/>
                <w14:textFill>
                  <w14:solidFill>
                    <w14:schemeClr w14:val="tx1"/>
                  </w14:solidFill>
                </w14:textFill>
              </w:rPr>
              <w:t>待整个工程施完毕后，应及时清理场地废弃物，禁止遗留在施工场地。</w:t>
            </w:r>
          </w:p>
          <w:p w14:paraId="1F12EE0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2、废水</w:t>
            </w:r>
          </w:p>
          <w:p w14:paraId="43A74BB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无施工废水产生</w:t>
            </w:r>
            <w:r>
              <w:rPr>
                <w:rFonts w:hint="eastAsia"/>
                <w:color w:val="000000" w:themeColor="text1"/>
                <w:sz w:val="24"/>
                <w:szCs w:val="24"/>
                <w:highlight w:val="none"/>
                <w14:textFill>
                  <w14:solidFill>
                    <w14:schemeClr w14:val="tx1"/>
                  </w14:solidFill>
                </w14:textFill>
              </w:rPr>
              <w:t>。</w:t>
            </w:r>
          </w:p>
          <w:p w14:paraId="60C5CD4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3、噪声</w:t>
            </w:r>
          </w:p>
          <w:p w14:paraId="37B60D5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施工噪声与本项目施工期噪声类似，建设单位应按本报告提出的施工期噪声防治要求进行降噪和管理，避免噪声扰民。</w:t>
            </w:r>
          </w:p>
          <w:p w14:paraId="2872B57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4、固体废物</w:t>
            </w:r>
          </w:p>
          <w:p w14:paraId="7E67376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建筑垃圾：</w:t>
            </w:r>
            <w:r>
              <w:rPr>
                <w:rFonts w:hint="eastAsia"/>
                <w:color w:val="000000" w:themeColor="text1"/>
                <w:sz w:val="24"/>
                <w:highlight w:val="none"/>
                <w14:textFill>
                  <w14:solidFill>
                    <w14:schemeClr w14:val="tx1"/>
                  </w14:solidFill>
                </w14:textFill>
              </w:rPr>
              <w:t>拆除封闭生产车间及场地恢复施工时，均会产生一定量的建筑垃圾，建设单位应定点收集建筑垃圾，统一清运至指定的建筑垃圾场。</w:t>
            </w:r>
          </w:p>
          <w:p w14:paraId="6C8698F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5、生态恢复</w:t>
            </w:r>
          </w:p>
          <w:p w14:paraId="5B3012F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拆除建构筑物期间，由于地表裸露，可能因降雨引起水土流失，建设单位应在此期间注意天气变化，在大风天气及降雨前对裸露地表进行遮盖，避免扬尘及水土流失，同时尽量缩短工期。</w:t>
            </w:r>
          </w:p>
          <w:p w14:paraId="0EBB338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6AC388F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0E7C8EE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2EB9867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67BB82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452D54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AB2ADB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21E5668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624610A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61C442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2FAAE8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8B293A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595D1EB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80834F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108E679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34CD324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3D2E6AD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5E704DF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586079F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3954F88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6DC55F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578026A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6402BC7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C11326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72A42D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641337C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p>
        </w:tc>
      </w:tr>
    </w:tbl>
    <w:p w14:paraId="07DA3248">
      <w:pPr>
        <w:rPr>
          <w:color w:val="000000" w:themeColor="text1"/>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2DEAB703">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17" w:name="_Toc80643345"/>
      <w:r>
        <w:rPr>
          <w:rFonts w:ascii="Times New Roman" w:hAnsi="Times New Roman" w:eastAsia="宋体"/>
          <w:b/>
          <w:bCs/>
          <w:snapToGrid w:val="0"/>
          <w:color w:val="000000" w:themeColor="text1"/>
          <w:kern w:val="0"/>
          <w:sz w:val="36"/>
          <w:szCs w:val="32"/>
          <w:highlight w:val="none"/>
          <w14:textFill>
            <w14:solidFill>
              <w14:schemeClr w14:val="tx1"/>
            </w14:solidFill>
          </w14:textFill>
        </w:rPr>
        <w:t>五、</w:t>
      </w:r>
      <w:bookmarkEnd w:id="17"/>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环境保护措施监督检查清单</w:t>
      </w:r>
    </w:p>
    <w:tbl>
      <w:tblPr>
        <w:tblStyle w:val="2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85"/>
        <w:gridCol w:w="525"/>
        <w:gridCol w:w="805"/>
        <w:gridCol w:w="806"/>
        <w:gridCol w:w="1185"/>
        <w:gridCol w:w="2371"/>
        <w:gridCol w:w="2031"/>
      </w:tblGrid>
      <w:tr w14:paraId="47AB8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1A3E249B">
            <w:pPr>
              <w:keepNext w:val="0"/>
              <w:keepLines w:val="0"/>
              <w:pageBreakBefore w:val="0"/>
              <w:kinsoku/>
              <w:overflowPunct/>
              <w:topLinePunct w:val="0"/>
              <w:autoSpaceDE/>
              <w:autoSpaceDN/>
              <w:bidi w:val="0"/>
              <w:adjustRightInd w:val="0"/>
              <w:snapToGrid w:val="0"/>
              <w:spacing w:line="240" w:lineRule="auto"/>
              <w:ind w:left="0" w:leftChars="0" w:firstLine="0" w:firstLineChars="0"/>
              <w:jc w:val="right"/>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要素</w:t>
            </w:r>
          </w:p>
          <w:p w14:paraId="3D1E825D">
            <w:pPr>
              <w:keepNext w:val="0"/>
              <w:keepLines w:val="0"/>
              <w:pageBreakBefore w:val="0"/>
              <w:kinsoku/>
              <w:overflowPunct/>
              <w:topLinePunct w:val="0"/>
              <w:autoSpaceDE/>
              <w:autoSpaceDN/>
              <w:bidi w:val="0"/>
              <w:adjustRightInd w:val="0"/>
              <w:snapToGrid w:val="0"/>
              <w:spacing w:line="240" w:lineRule="auto"/>
              <w:ind w:left="0" w:leftChars="0" w:firstLine="0" w:firstLineChars="0"/>
              <w:jc w:val="left"/>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内容</w:t>
            </w:r>
          </w:p>
        </w:tc>
        <w:tc>
          <w:tcPr>
            <w:tcW w:w="1185" w:type="pct"/>
            <w:gridSpan w:val="3"/>
            <w:tcBorders>
              <w:tl2br w:val="nil"/>
              <w:tr2bl w:val="nil"/>
            </w:tcBorders>
            <w:vAlign w:val="center"/>
          </w:tcPr>
          <w:p w14:paraId="4A2D8DF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排放口（编号、名称）/排放源</w:t>
            </w:r>
          </w:p>
        </w:tc>
        <w:tc>
          <w:tcPr>
            <w:tcW w:w="657" w:type="pct"/>
            <w:tcBorders>
              <w:tl2br w:val="nil"/>
              <w:tr2bl w:val="nil"/>
            </w:tcBorders>
            <w:vAlign w:val="center"/>
          </w:tcPr>
          <w:p w14:paraId="0B1F85A7">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污染物</w:t>
            </w:r>
          </w:p>
          <w:p w14:paraId="03750787">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项目</w:t>
            </w:r>
          </w:p>
        </w:tc>
        <w:tc>
          <w:tcPr>
            <w:tcW w:w="1316" w:type="pct"/>
            <w:tcBorders>
              <w:tl2br w:val="nil"/>
              <w:tr2bl w:val="nil"/>
            </w:tcBorders>
            <w:vAlign w:val="center"/>
          </w:tcPr>
          <w:p w14:paraId="0B6BA9C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防治措施</w:t>
            </w:r>
          </w:p>
        </w:tc>
        <w:tc>
          <w:tcPr>
            <w:tcW w:w="1127" w:type="pct"/>
            <w:tcBorders>
              <w:tl2br w:val="nil"/>
              <w:tr2bl w:val="nil"/>
            </w:tcBorders>
            <w:vAlign w:val="center"/>
          </w:tcPr>
          <w:p w14:paraId="5A58F36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执行标准</w:t>
            </w:r>
          </w:p>
        </w:tc>
      </w:tr>
      <w:tr w14:paraId="4FBAC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restart"/>
            <w:tcBorders>
              <w:tl2br w:val="nil"/>
              <w:tr2bl w:val="nil"/>
            </w:tcBorders>
            <w:vAlign w:val="center"/>
          </w:tcPr>
          <w:p w14:paraId="2715E5E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大气环境</w:t>
            </w:r>
          </w:p>
        </w:tc>
        <w:tc>
          <w:tcPr>
            <w:tcW w:w="291" w:type="pct"/>
            <w:vMerge w:val="restart"/>
            <w:tcBorders>
              <w:tl2br w:val="nil"/>
              <w:tr2bl w:val="nil"/>
            </w:tcBorders>
            <w:vAlign w:val="center"/>
          </w:tcPr>
          <w:p w14:paraId="4CC64D1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施工期</w:t>
            </w:r>
          </w:p>
        </w:tc>
        <w:tc>
          <w:tcPr>
            <w:tcW w:w="894" w:type="pct"/>
            <w:gridSpan w:val="2"/>
            <w:tcBorders>
              <w:tl2br w:val="nil"/>
              <w:tr2bl w:val="nil"/>
            </w:tcBorders>
            <w:vAlign w:val="center"/>
          </w:tcPr>
          <w:p w14:paraId="75FF1BD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土建施工</w:t>
            </w:r>
          </w:p>
        </w:tc>
        <w:tc>
          <w:tcPr>
            <w:tcW w:w="657" w:type="pct"/>
            <w:tcBorders>
              <w:tl2br w:val="nil"/>
              <w:tr2bl w:val="nil"/>
            </w:tcBorders>
            <w:vAlign w:val="center"/>
          </w:tcPr>
          <w:p w14:paraId="1D4C86C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扬尘</w:t>
            </w:r>
          </w:p>
        </w:tc>
        <w:tc>
          <w:tcPr>
            <w:tcW w:w="1316" w:type="pct"/>
            <w:tcBorders>
              <w:tl2br w:val="nil"/>
              <w:tr2bl w:val="nil"/>
            </w:tcBorders>
            <w:vAlign w:val="center"/>
          </w:tcPr>
          <w:p w14:paraId="160253F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洒水降尘</w:t>
            </w:r>
            <w:r>
              <w:rPr>
                <w:rFonts w:hint="eastAsia" w:ascii="Times New Roman" w:hAnsi="Times New Roman" w:eastAsia="宋体"/>
                <w:bCs/>
                <w:color w:val="000000" w:themeColor="text1"/>
                <w:sz w:val="24"/>
                <w:szCs w:val="24"/>
                <w:highlight w:val="none"/>
                <w14:textFill>
                  <w14:solidFill>
                    <w14:schemeClr w14:val="tx1"/>
                  </w14:solidFill>
                </w14:textFill>
              </w:rPr>
              <w:t>、设置围挡等</w:t>
            </w:r>
          </w:p>
        </w:tc>
        <w:tc>
          <w:tcPr>
            <w:tcW w:w="1127" w:type="pct"/>
            <w:vMerge w:val="restart"/>
            <w:tcBorders>
              <w:tl2br w:val="nil"/>
              <w:tr2bl w:val="nil"/>
            </w:tcBorders>
            <w:vAlign w:val="center"/>
          </w:tcPr>
          <w:p w14:paraId="7F2CF0DA">
            <w:pPr>
              <w:keepNext w:val="0"/>
              <w:keepLines w:val="0"/>
              <w:pageBreakBefore w:val="0"/>
              <w:kinsoku/>
              <w:wordWrap w:val="0"/>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《大气污染物综合排放标准》（GB16297-1996）表2中规定的无组织监控浓度排放限值</w:t>
            </w:r>
          </w:p>
        </w:tc>
      </w:tr>
      <w:tr w14:paraId="06E5E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756D3EFD">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1686CE39">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57306DF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运输</w:t>
            </w:r>
          </w:p>
        </w:tc>
        <w:tc>
          <w:tcPr>
            <w:tcW w:w="657" w:type="pct"/>
            <w:tcBorders>
              <w:tl2br w:val="nil"/>
              <w:tr2bl w:val="nil"/>
            </w:tcBorders>
            <w:vAlign w:val="center"/>
          </w:tcPr>
          <w:p w14:paraId="5DE7D6D7">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CO、NO</w:t>
            </w:r>
            <w:r>
              <w:rPr>
                <w:rFonts w:hint="eastAsia" w:ascii="Times New Roman" w:hAnsi="Times New Roman" w:eastAsia="宋体"/>
                <w:bCs/>
                <w:color w:val="000000" w:themeColor="text1"/>
                <w:sz w:val="24"/>
                <w:szCs w:val="24"/>
                <w:highlight w:val="none"/>
                <w:vertAlign w:val="subscript"/>
                <w14:textFill>
                  <w14:solidFill>
                    <w14:schemeClr w14:val="tx1"/>
                  </w14:solidFill>
                </w14:textFill>
              </w:rPr>
              <w:t>X</w:t>
            </w:r>
            <w:r>
              <w:rPr>
                <w:rFonts w:hint="eastAsia" w:ascii="Times New Roman" w:hAnsi="Times New Roman" w:eastAsia="宋体"/>
                <w:bCs/>
                <w:color w:val="000000" w:themeColor="text1"/>
                <w:sz w:val="24"/>
                <w:szCs w:val="24"/>
                <w:highlight w:val="none"/>
                <w14:textFill>
                  <w14:solidFill>
                    <w14:schemeClr w14:val="tx1"/>
                  </w14:solidFill>
                </w14:textFill>
              </w:rPr>
              <w:t>、THC</w:t>
            </w:r>
          </w:p>
        </w:tc>
        <w:tc>
          <w:tcPr>
            <w:tcW w:w="1316" w:type="pct"/>
            <w:tcBorders>
              <w:tl2br w:val="nil"/>
              <w:tr2bl w:val="nil"/>
            </w:tcBorders>
            <w:vAlign w:val="center"/>
          </w:tcPr>
          <w:p w14:paraId="2D75082C">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加强管理、减少车辆怠速运行</w:t>
            </w:r>
          </w:p>
        </w:tc>
        <w:tc>
          <w:tcPr>
            <w:tcW w:w="1127" w:type="pct"/>
            <w:vMerge w:val="continue"/>
            <w:tcBorders>
              <w:tl2br w:val="nil"/>
              <w:tr2bl w:val="nil"/>
            </w:tcBorders>
            <w:vAlign w:val="center"/>
          </w:tcPr>
          <w:p w14:paraId="4B591EDE">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r>
      <w:tr w14:paraId="6DA8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343F902B">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restart"/>
            <w:tcBorders>
              <w:tl2br w:val="nil"/>
              <w:tr2bl w:val="nil"/>
            </w:tcBorders>
            <w:vAlign w:val="center"/>
          </w:tcPr>
          <w:p w14:paraId="5E37560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营运期</w:t>
            </w:r>
          </w:p>
        </w:tc>
        <w:tc>
          <w:tcPr>
            <w:tcW w:w="894" w:type="pct"/>
            <w:gridSpan w:val="2"/>
            <w:tcBorders>
              <w:tl2br w:val="nil"/>
              <w:tr2bl w:val="nil"/>
            </w:tcBorders>
            <w:vAlign w:val="center"/>
          </w:tcPr>
          <w:p w14:paraId="71787322">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原料装卸</w:t>
            </w:r>
          </w:p>
        </w:tc>
        <w:tc>
          <w:tcPr>
            <w:tcW w:w="657" w:type="pct"/>
            <w:tcBorders>
              <w:tl2br w:val="nil"/>
              <w:tr2bl w:val="nil"/>
            </w:tcBorders>
            <w:vAlign w:val="center"/>
          </w:tcPr>
          <w:p w14:paraId="2351046E">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2E25097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bidi="ar"/>
                <w14:textFill>
                  <w14:solidFill>
                    <w14:schemeClr w14:val="tx1"/>
                  </w14:solidFill>
                </w14:textFill>
              </w:rPr>
              <w:t>料仓、配料仓（斗）均采用三面围挡+彩钢顶棚的形式设置，并在顶部设置有喷雾除尘装置（每个料仓设置3个喷雾点）</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w:t>
            </w:r>
            <w:r>
              <w:rPr>
                <w:rFonts w:hint="eastAsia" w:ascii="Times New Roman" w:hAnsi="Times New Roman" w:eastAsia="宋体"/>
                <w:color w:val="000000" w:themeColor="text1"/>
                <w:sz w:val="24"/>
                <w:szCs w:val="24"/>
                <w:highlight w:val="none"/>
                <w:lang w:bidi="ar"/>
                <w14:textFill>
                  <w14:solidFill>
                    <w14:schemeClr w14:val="tx1"/>
                  </w14:solidFill>
                </w14:textFill>
              </w:rPr>
              <w:t>2台移动式除尘雾炮机。（</w:t>
            </w:r>
            <w:r>
              <w:rPr>
                <w:rFonts w:hint="eastAsia" w:ascii="Times New Roman" w:hAnsi="Times New Roman" w:eastAsia="宋体"/>
                <w:color w:val="000000" w:themeColor="text1"/>
                <w:sz w:val="24"/>
                <w:szCs w:val="24"/>
                <w:highlight w:val="none"/>
                <w:lang w:eastAsia="zh-CN" w:bidi="ar"/>
                <w14:textFill>
                  <w14:solidFill>
                    <w14:schemeClr w14:val="tx1"/>
                  </w14:solidFill>
                </w14:textFill>
              </w:rPr>
              <w:t>综合</w:t>
            </w:r>
            <w:r>
              <w:rPr>
                <w:rFonts w:hint="eastAsia" w:ascii="Times New Roman" w:hAnsi="Times New Roman" w:eastAsia="宋体"/>
                <w:color w:val="000000" w:themeColor="text1"/>
                <w:sz w:val="24"/>
                <w:szCs w:val="24"/>
                <w:highlight w:val="none"/>
                <w:lang w:bidi="ar"/>
                <w14:textFill>
                  <w14:solidFill>
                    <w14:schemeClr w14:val="tx1"/>
                  </w14:solidFill>
                </w14:textFill>
              </w:rPr>
              <w:t>除尘效率</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99.6056</w:t>
            </w:r>
            <w:r>
              <w:rPr>
                <w:rFonts w:hint="eastAsia" w:ascii="Times New Roman" w:hAnsi="Times New Roman" w:eastAsia="宋体"/>
                <w:color w:val="000000" w:themeColor="text1"/>
                <w:sz w:val="24"/>
                <w:szCs w:val="24"/>
                <w:highlight w:val="none"/>
                <w:lang w:bidi="ar"/>
                <w14:textFill>
                  <w14:solidFill>
                    <w14:schemeClr w14:val="tx1"/>
                  </w14:solidFill>
                </w14:textFill>
              </w:rPr>
              <w:t>%）</w:t>
            </w:r>
          </w:p>
        </w:tc>
        <w:tc>
          <w:tcPr>
            <w:tcW w:w="1127" w:type="pct"/>
            <w:vMerge w:val="restart"/>
            <w:tcBorders>
              <w:tl2br w:val="nil"/>
              <w:tr2bl w:val="nil"/>
            </w:tcBorders>
            <w:vAlign w:val="center"/>
          </w:tcPr>
          <w:p w14:paraId="4D79B519">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《四川省水泥工业大气污染物排放标准》（DB51 2864 -2021）中大气污染物排放限值</w:t>
            </w:r>
          </w:p>
        </w:tc>
      </w:tr>
      <w:tr w14:paraId="20B76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00D7314E">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3BB95D0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2E20523A">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骨料输送</w:t>
            </w:r>
          </w:p>
        </w:tc>
        <w:tc>
          <w:tcPr>
            <w:tcW w:w="657" w:type="pct"/>
            <w:tcBorders>
              <w:tl2br w:val="nil"/>
              <w:tr2bl w:val="nil"/>
            </w:tcBorders>
            <w:vAlign w:val="center"/>
          </w:tcPr>
          <w:p w14:paraId="120C9D82">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749554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lang w:bidi="ar"/>
                <w14:textFill>
                  <w14:solidFill>
                    <w14:schemeClr w14:val="tx1"/>
                  </w14:solidFill>
                </w14:textFill>
              </w:rPr>
              <w:t>密闭的输送廊道，并在皮带输送进料口设置喷淋抑尘装置</w:t>
            </w:r>
          </w:p>
        </w:tc>
        <w:tc>
          <w:tcPr>
            <w:tcW w:w="1127" w:type="pct"/>
            <w:vMerge w:val="continue"/>
            <w:tcBorders>
              <w:tl2br w:val="nil"/>
              <w:tr2bl w:val="nil"/>
            </w:tcBorders>
            <w:vAlign w:val="center"/>
          </w:tcPr>
          <w:p w14:paraId="072E08F5">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kern w:val="0"/>
                <w:sz w:val="24"/>
                <w:szCs w:val="24"/>
                <w:highlight w:val="none"/>
                <w14:textFill>
                  <w14:solidFill>
                    <w14:schemeClr w14:val="tx1"/>
                  </w14:solidFill>
                </w14:textFill>
              </w:rPr>
            </w:pPr>
          </w:p>
        </w:tc>
      </w:tr>
      <w:tr w14:paraId="5B441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0837C9E4">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7B844C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7F1DEAE8">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储料罐</w:t>
            </w:r>
          </w:p>
        </w:tc>
        <w:tc>
          <w:tcPr>
            <w:tcW w:w="657" w:type="pct"/>
            <w:tcBorders>
              <w:tl2br w:val="nil"/>
              <w:tr2bl w:val="nil"/>
            </w:tcBorders>
            <w:vAlign w:val="center"/>
          </w:tcPr>
          <w:p w14:paraId="61810398">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25EED6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bidi="ar"/>
                <w14:textFill>
                  <w14:solidFill>
                    <w14:schemeClr w14:val="tx1"/>
                  </w14:solidFill>
                </w14:textFill>
              </w:rPr>
              <w:t>筒仓放空口处安装自动衔接输料口</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w:t>
            </w:r>
            <w:r>
              <w:rPr>
                <w:rFonts w:hint="eastAsia" w:ascii="Times New Roman" w:hAnsi="Times New Roman" w:eastAsia="宋体"/>
                <w:color w:val="000000" w:themeColor="text1"/>
                <w:sz w:val="24"/>
                <w:szCs w:val="24"/>
                <w:highlight w:val="none"/>
                <w:lang w:bidi="ar"/>
                <w14:textFill>
                  <w14:solidFill>
                    <w14:schemeClr w14:val="tx1"/>
                  </w14:solidFill>
                </w14:textFill>
              </w:rPr>
              <w:t>仓顶除尘器（处理效率99.5%）处理后无组织排放</w:t>
            </w:r>
          </w:p>
        </w:tc>
        <w:tc>
          <w:tcPr>
            <w:tcW w:w="1127" w:type="pct"/>
            <w:vMerge w:val="continue"/>
            <w:tcBorders>
              <w:tl2br w:val="nil"/>
              <w:tr2bl w:val="nil"/>
            </w:tcBorders>
            <w:vAlign w:val="center"/>
          </w:tcPr>
          <w:p w14:paraId="10E6130B">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kern w:val="0"/>
                <w:sz w:val="24"/>
                <w:szCs w:val="24"/>
                <w:highlight w:val="none"/>
                <w14:textFill>
                  <w14:solidFill>
                    <w14:schemeClr w14:val="tx1"/>
                  </w14:solidFill>
                </w14:textFill>
              </w:rPr>
            </w:pPr>
          </w:p>
        </w:tc>
      </w:tr>
      <w:tr w14:paraId="6D0AE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E79E5FF">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47AEB25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457196F3">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搅拌</w:t>
            </w:r>
          </w:p>
        </w:tc>
        <w:tc>
          <w:tcPr>
            <w:tcW w:w="657" w:type="pct"/>
            <w:tcBorders>
              <w:tl2br w:val="nil"/>
              <w:tr2bl w:val="nil"/>
            </w:tcBorders>
            <w:vAlign w:val="center"/>
          </w:tcPr>
          <w:p w14:paraId="5B8B4CEF">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621F4D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lang w:bidi="ar"/>
                <w14:textFill>
                  <w14:solidFill>
                    <w14:schemeClr w14:val="tx1"/>
                  </w14:solidFill>
                </w14:textFill>
              </w:rPr>
              <w:t>密闭搅拌机，且位于密闭厂房内，搅拌系统配备一台</w:t>
            </w:r>
            <w:r>
              <w:rPr>
                <w:rFonts w:hint="eastAsia" w:ascii="Times New Roman" w:hAnsi="Times New Roman" w:eastAsia="宋体"/>
                <w:color w:val="000000" w:themeColor="text1"/>
                <w:sz w:val="24"/>
                <w:szCs w:val="24"/>
                <w:highlight w:val="none"/>
                <w:lang w:bidi="ar"/>
                <w14:textFill>
                  <w14:solidFill>
                    <w14:schemeClr w14:val="tx1"/>
                  </w14:solidFill>
                </w14:textFill>
              </w:rPr>
              <w:t>布袋</w:t>
            </w:r>
            <w:r>
              <w:rPr>
                <w:rFonts w:ascii="Times New Roman" w:hAnsi="Times New Roman" w:eastAsia="宋体"/>
                <w:color w:val="000000" w:themeColor="text1"/>
                <w:sz w:val="24"/>
                <w:szCs w:val="24"/>
                <w:highlight w:val="none"/>
                <w:lang w:bidi="ar"/>
                <w14:textFill>
                  <w14:solidFill>
                    <w14:schemeClr w14:val="tx1"/>
                  </w14:solidFill>
                </w14:textFill>
              </w:rPr>
              <w:t>除尘器</w:t>
            </w:r>
            <w:r>
              <w:rPr>
                <w:rFonts w:hint="eastAsia" w:ascii="Times New Roman" w:hAnsi="Times New Roman" w:eastAsia="宋体"/>
                <w:color w:val="000000" w:themeColor="text1"/>
                <w:sz w:val="24"/>
                <w:szCs w:val="24"/>
                <w:highlight w:val="none"/>
                <w:lang w:bidi="ar"/>
                <w14:textFill>
                  <w14:solidFill>
                    <w14:schemeClr w14:val="tx1"/>
                  </w14:solidFill>
                </w14:textFill>
              </w:rPr>
              <w:t>（收集效率</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99</w:t>
            </w:r>
            <w:r>
              <w:rPr>
                <w:rFonts w:hint="eastAsia" w:ascii="Times New Roman" w:hAnsi="Times New Roman" w:eastAsia="宋体"/>
                <w:color w:val="000000" w:themeColor="text1"/>
                <w:sz w:val="24"/>
                <w:szCs w:val="24"/>
                <w:highlight w:val="none"/>
                <w:lang w:bidi="ar"/>
                <w14:textFill>
                  <w14:solidFill>
                    <w14:schemeClr w14:val="tx1"/>
                  </w14:solidFill>
                </w14:textFill>
              </w:rPr>
              <w:t>%，除尘效率9</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9</w:t>
            </w:r>
            <w:r>
              <w:rPr>
                <w:rFonts w:hint="eastAsia" w:ascii="Times New Roman" w:hAnsi="Times New Roman" w:eastAsia="宋体"/>
                <w:color w:val="000000" w:themeColor="text1"/>
                <w:sz w:val="24"/>
                <w:szCs w:val="24"/>
                <w:highlight w:val="none"/>
                <w:lang w:bidi="ar"/>
                <w14:textFill>
                  <w14:solidFill>
                    <w14:schemeClr w14:val="tx1"/>
                  </w14:solidFill>
                </w14:textFill>
              </w:rPr>
              <w:t>%），同时，在封闭式厂房</w:t>
            </w:r>
            <w:r>
              <w:rPr>
                <w:rFonts w:hint="eastAsia" w:ascii="Times New Roman" w:hAnsi="Times New Roman" w:eastAsia="宋体"/>
                <w:color w:val="000000" w:themeColor="text1"/>
                <w:sz w:val="24"/>
                <w:szCs w:val="24"/>
                <w:highlight w:val="none"/>
                <w:lang w:eastAsia="zh-CN" w:bidi="ar"/>
                <w14:textFill>
                  <w14:solidFill>
                    <w14:schemeClr w14:val="tx1"/>
                  </w14:solidFill>
                </w14:textFill>
              </w:rPr>
              <w:t>内安装</w:t>
            </w:r>
            <w:r>
              <w:rPr>
                <w:rFonts w:ascii="Times New Roman" w:hAnsi="Times New Roman" w:eastAsia="宋体"/>
                <w:color w:val="000000" w:themeColor="text1"/>
                <w:sz w:val="24"/>
                <w:szCs w:val="24"/>
                <w:highlight w:val="none"/>
                <w:lang w:bidi="ar"/>
                <w14:textFill>
                  <w14:solidFill>
                    <w14:schemeClr w14:val="tx1"/>
                  </w14:solidFill>
                </w14:textFill>
              </w:rPr>
              <w:t>喷淋装置</w:t>
            </w:r>
            <w:r>
              <w:rPr>
                <w:rFonts w:hint="eastAsia" w:ascii="Times New Roman" w:hAnsi="Times New Roman" w:eastAsia="宋体"/>
                <w:color w:val="000000" w:themeColor="text1"/>
                <w:sz w:val="24"/>
                <w:szCs w:val="24"/>
                <w:highlight w:val="none"/>
                <w:lang w:bidi="ar"/>
                <w14:textFill>
                  <w14:solidFill>
                    <w14:schemeClr w14:val="tx1"/>
                  </w14:solidFill>
                </w14:textFill>
              </w:rPr>
              <w:t>洒水降尘（除尘效率70%）</w:t>
            </w:r>
          </w:p>
        </w:tc>
        <w:tc>
          <w:tcPr>
            <w:tcW w:w="1127" w:type="pct"/>
            <w:vMerge w:val="continue"/>
            <w:tcBorders>
              <w:tl2br w:val="nil"/>
              <w:tr2bl w:val="nil"/>
            </w:tcBorders>
            <w:vAlign w:val="center"/>
          </w:tcPr>
          <w:p w14:paraId="54A5B7E0">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kern w:val="0"/>
                <w:sz w:val="24"/>
                <w:szCs w:val="24"/>
                <w:highlight w:val="none"/>
                <w14:textFill>
                  <w14:solidFill>
                    <w14:schemeClr w14:val="tx1"/>
                  </w14:solidFill>
                </w14:textFill>
              </w:rPr>
            </w:pPr>
          </w:p>
        </w:tc>
      </w:tr>
      <w:tr w14:paraId="14229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299898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0A4288B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3EE52234">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汽车运输</w:t>
            </w:r>
          </w:p>
        </w:tc>
        <w:tc>
          <w:tcPr>
            <w:tcW w:w="657" w:type="pct"/>
            <w:tcBorders>
              <w:tl2br w:val="nil"/>
              <w:tr2bl w:val="nil"/>
            </w:tcBorders>
            <w:vAlign w:val="center"/>
          </w:tcPr>
          <w:p w14:paraId="775A91F0">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6652022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eastAsia="zh-CN" w:bidi="ar"/>
                <w14:textFill>
                  <w14:solidFill>
                    <w14:schemeClr w14:val="tx1"/>
                  </w14:solidFill>
                </w14:textFill>
              </w:rPr>
              <w:t>地面硬化、运</w:t>
            </w:r>
            <w:r>
              <w:rPr>
                <w:rFonts w:hint="eastAsia" w:ascii="Times New Roman" w:hAnsi="Times New Roman" w:eastAsia="宋体"/>
                <w:color w:val="000000" w:themeColor="text1"/>
                <w:sz w:val="24"/>
                <w:szCs w:val="24"/>
                <w:highlight w:val="none"/>
                <w:lang w:bidi="ar"/>
                <w14:textFill>
                  <w14:solidFill>
                    <w14:schemeClr w14:val="tx1"/>
                  </w14:solidFill>
                </w14:textFill>
              </w:rPr>
              <w:t>输车辆采用篷布进行遮蔽处理，控制装载量，禁止裸露、冒尖或超载运输，洒水降尘（除尘效率</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85</w:t>
            </w:r>
            <w:r>
              <w:rPr>
                <w:rFonts w:hint="eastAsia" w:ascii="Times New Roman" w:hAnsi="Times New Roman" w:eastAsia="宋体"/>
                <w:color w:val="000000" w:themeColor="text1"/>
                <w:sz w:val="24"/>
                <w:szCs w:val="24"/>
                <w:highlight w:val="none"/>
                <w:lang w:bidi="ar"/>
                <w14:textFill>
                  <w14:solidFill>
                    <w14:schemeClr w14:val="tx1"/>
                  </w14:solidFill>
                </w14:textFill>
              </w:rPr>
              <w:t>%）</w:t>
            </w:r>
          </w:p>
        </w:tc>
        <w:tc>
          <w:tcPr>
            <w:tcW w:w="1127" w:type="pct"/>
            <w:tcBorders>
              <w:tl2br w:val="nil"/>
              <w:tr2bl w:val="nil"/>
            </w:tcBorders>
            <w:vAlign w:val="center"/>
          </w:tcPr>
          <w:p w14:paraId="50144AA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对环境影响不大</w:t>
            </w:r>
          </w:p>
        </w:tc>
      </w:tr>
      <w:tr w14:paraId="6398D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C4E539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D3CF94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299C19EB">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焊接</w:t>
            </w:r>
          </w:p>
        </w:tc>
        <w:tc>
          <w:tcPr>
            <w:tcW w:w="657" w:type="pct"/>
            <w:tcBorders>
              <w:tl2br w:val="nil"/>
              <w:tr2bl w:val="nil"/>
            </w:tcBorders>
            <w:vAlign w:val="center"/>
          </w:tcPr>
          <w:p w14:paraId="46748476">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烟尘</w:t>
            </w:r>
          </w:p>
        </w:tc>
        <w:tc>
          <w:tcPr>
            <w:tcW w:w="1316" w:type="pct"/>
            <w:tcBorders>
              <w:tl2br w:val="nil"/>
              <w:tr2bl w:val="nil"/>
            </w:tcBorders>
            <w:vAlign w:val="center"/>
          </w:tcPr>
          <w:p w14:paraId="496673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2</w:t>
            </w:r>
            <w:r>
              <w:rPr>
                <w:rFonts w:hint="eastAsia" w:ascii="Times New Roman" w:hAnsi="Times New Roman" w:eastAsia="宋体"/>
                <w:color w:val="000000" w:themeColor="text1"/>
                <w:sz w:val="24"/>
                <w:szCs w:val="24"/>
                <w:highlight w:val="none"/>
                <w:lang w:bidi="ar"/>
                <w14:textFill>
                  <w14:solidFill>
                    <w14:schemeClr w14:val="tx1"/>
                  </w14:solidFill>
                </w14:textFill>
              </w:rPr>
              <w:t>台移动式焊烟净化器（收集效率80%，处理效率9</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5</w:t>
            </w:r>
            <w:r>
              <w:rPr>
                <w:rFonts w:hint="eastAsia" w:ascii="Times New Roman" w:hAnsi="Times New Roman" w:eastAsia="宋体"/>
                <w:color w:val="000000" w:themeColor="text1"/>
                <w:sz w:val="24"/>
                <w:szCs w:val="24"/>
                <w:highlight w:val="none"/>
                <w:lang w:bidi="ar"/>
                <w14:textFill>
                  <w14:solidFill>
                    <w14:schemeClr w14:val="tx1"/>
                  </w14:solidFill>
                </w14:textFill>
              </w:rPr>
              <w:t>%）处理后排放</w:t>
            </w:r>
          </w:p>
        </w:tc>
        <w:tc>
          <w:tcPr>
            <w:tcW w:w="1127" w:type="pct"/>
            <w:tcBorders>
              <w:tl2br w:val="nil"/>
              <w:tr2bl w:val="nil"/>
            </w:tcBorders>
            <w:vAlign w:val="center"/>
          </w:tcPr>
          <w:p w14:paraId="3D0F1F3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《大气污染物综合排放标准》（GB16297-1996）无组织标准要求</w:t>
            </w:r>
            <w:r>
              <w:rPr>
                <w:rFonts w:ascii="Times New Roman" w:hAnsi="Times New Roman" w:eastAsia="宋体"/>
                <w:color w:val="000000" w:themeColor="text1"/>
                <w:kern w:val="0"/>
                <w:sz w:val="24"/>
                <w:szCs w:val="24"/>
                <w:highlight w:val="none"/>
                <w14:textFill>
                  <w14:solidFill>
                    <w14:schemeClr w14:val="tx1"/>
                  </w14:solidFill>
                </w14:textFill>
              </w:rPr>
              <w:t>，对项目周围环境空气影响较小</w:t>
            </w:r>
          </w:p>
        </w:tc>
      </w:tr>
      <w:tr w14:paraId="5E737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F15D9C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9B4CEA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6328CC61">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食堂</w:t>
            </w:r>
          </w:p>
        </w:tc>
        <w:tc>
          <w:tcPr>
            <w:tcW w:w="657" w:type="pct"/>
            <w:tcBorders>
              <w:tl2br w:val="nil"/>
              <w:tr2bl w:val="nil"/>
            </w:tcBorders>
            <w:vAlign w:val="center"/>
          </w:tcPr>
          <w:p w14:paraId="6F33BF1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
                <w14:textFill>
                  <w14:solidFill>
                    <w14:schemeClr w14:val="tx1"/>
                  </w14:solidFill>
                </w14:textFill>
              </w:rPr>
              <w:t>油烟</w:t>
            </w:r>
          </w:p>
        </w:tc>
        <w:tc>
          <w:tcPr>
            <w:tcW w:w="1316" w:type="pct"/>
            <w:tcBorders>
              <w:tl2br w:val="nil"/>
              <w:tr2bl w:val="nil"/>
            </w:tcBorders>
            <w:vAlign w:val="center"/>
          </w:tcPr>
          <w:p w14:paraId="1994A7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4"/>
                <w:szCs w:val="24"/>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
                <w14:textFill>
                  <w14:solidFill>
                    <w14:schemeClr w14:val="tx1"/>
                  </w14:solidFill>
                </w14:textFill>
              </w:rPr>
              <w:t>设置3台油烟净化器对油烟进行净化处理，净化效率约为75%，通过排烟管道引至屋顶高空排放</w:t>
            </w:r>
          </w:p>
        </w:tc>
        <w:tc>
          <w:tcPr>
            <w:tcW w:w="1127" w:type="pct"/>
            <w:tcBorders>
              <w:tl2br w:val="nil"/>
              <w:tr2bl w:val="nil"/>
            </w:tcBorders>
            <w:vAlign w:val="center"/>
          </w:tcPr>
          <w:p w14:paraId="060D125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《饮食业油烟排放标准（试行）》（GB18483-2001）</w:t>
            </w:r>
          </w:p>
        </w:tc>
      </w:tr>
      <w:tr w14:paraId="27DED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083BD16C">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313FC7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18601D16">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备用发电机</w:t>
            </w:r>
          </w:p>
        </w:tc>
        <w:tc>
          <w:tcPr>
            <w:tcW w:w="657" w:type="pct"/>
            <w:tcBorders>
              <w:tl2br w:val="nil"/>
              <w:tr2bl w:val="nil"/>
            </w:tcBorders>
            <w:vAlign w:val="center"/>
          </w:tcPr>
          <w:p w14:paraId="7CEED905">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烟尘</w:t>
            </w:r>
          </w:p>
        </w:tc>
        <w:tc>
          <w:tcPr>
            <w:tcW w:w="1316" w:type="pct"/>
            <w:tcBorders>
              <w:tl2br w:val="nil"/>
              <w:tr2bl w:val="nil"/>
            </w:tcBorders>
            <w:vAlign w:val="center"/>
          </w:tcPr>
          <w:p w14:paraId="5C7EAB7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发电机自带消烟除尘装置</w:t>
            </w:r>
            <w:r>
              <w:rPr>
                <w:rFonts w:hint="eastAsia" w:ascii="Times New Roman" w:hAnsi="Times New Roman" w:eastAsia="宋体"/>
                <w:color w:val="000000" w:themeColor="text1"/>
                <w:sz w:val="24"/>
                <w:szCs w:val="24"/>
                <w:highlight w:val="none"/>
                <w:lang w:eastAsia="zh-CN"/>
                <w14:textFill>
                  <w14:solidFill>
                    <w14:schemeClr w14:val="tx1"/>
                  </w14:solidFill>
                </w14:textFill>
              </w:rPr>
              <w:t>净化</w:t>
            </w:r>
            <w:r>
              <w:rPr>
                <w:rFonts w:hint="eastAsia" w:ascii="Times New Roman" w:hAnsi="Times New Roman" w:eastAsia="宋体"/>
                <w:color w:val="000000" w:themeColor="text1"/>
                <w:sz w:val="24"/>
                <w:szCs w:val="24"/>
                <w:highlight w:val="none"/>
                <w14:textFill>
                  <w14:solidFill>
                    <w14:schemeClr w14:val="tx1"/>
                  </w14:solidFill>
                </w14:textFill>
              </w:rPr>
              <w:t>后经</w:t>
            </w:r>
            <w:r>
              <w:rPr>
                <w:rFonts w:hint="eastAsia" w:ascii="Times New Roman" w:hAnsi="Times New Roman" w:eastAsia="宋体"/>
                <w:color w:val="000000" w:themeColor="text1"/>
                <w:sz w:val="24"/>
                <w:szCs w:val="24"/>
                <w:highlight w:val="none"/>
                <w:lang w:eastAsia="zh-CN"/>
                <w14:textFill>
                  <w14:solidFill>
                    <w14:schemeClr w14:val="tx1"/>
                  </w14:solidFill>
                </w14:textFill>
              </w:rPr>
              <w:t>专用烟道</w:t>
            </w:r>
            <w:r>
              <w:rPr>
                <w:rFonts w:hint="eastAsia" w:ascii="Times New Roman" w:hAnsi="Times New Roman" w:eastAsia="宋体"/>
                <w:color w:val="000000" w:themeColor="text1"/>
                <w:sz w:val="24"/>
                <w:szCs w:val="24"/>
                <w:highlight w:val="none"/>
                <w14:textFill>
                  <w14:solidFill>
                    <w14:schemeClr w14:val="tx1"/>
                  </w14:solidFill>
                </w14:textFill>
              </w:rPr>
              <w:t>排放</w:t>
            </w:r>
          </w:p>
        </w:tc>
        <w:tc>
          <w:tcPr>
            <w:tcW w:w="1127" w:type="pct"/>
            <w:tcBorders>
              <w:tl2br w:val="nil"/>
              <w:tr2bl w:val="nil"/>
            </w:tcBorders>
            <w:vAlign w:val="center"/>
          </w:tcPr>
          <w:p w14:paraId="35CACFC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对环境影响不大</w:t>
            </w:r>
          </w:p>
        </w:tc>
      </w:tr>
      <w:tr w14:paraId="1C8D4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1666375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F7E1C6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436CAB26">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汽车尾气</w:t>
            </w:r>
          </w:p>
        </w:tc>
        <w:tc>
          <w:tcPr>
            <w:tcW w:w="657" w:type="pct"/>
            <w:tcBorders>
              <w:tl2br w:val="nil"/>
              <w:tr2bl w:val="nil"/>
            </w:tcBorders>
            <w:vAlign w:val="center"/>
          </w:tcPr>
          <w:p w14:paraId="21B20803">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CO、NOx</w:t>
            </w:r>
            <w:r>
              <w:rPr>
                <w:rFonts w:hint="eastAsia" w:ascii="Times New Roman" w:hAnsi="Times New Roman" w:eastAsia="宋体"/>
                <w:color w:val="000000" w:themeColor="text1"/>
                <w:sz w:val="24"/>
                <w:szCs w:val="24"/>
                <w:highlight w:val="none"/>
                <w14:textFill>
                  <w14:solidFill>
                    <w14:schemeClr w14:val="tx1"/>
                  </w14:solidFill>
                </w14:textFill>
              </w:rPr>
              <w:t>、HC等</w:t>
            </w:r>
          </w:p>
        </w:tc>
        <w:tc>
          <w:tcPr>
            <w:tcW w:w="1316" w:type="pct"/>
            <w:tcBorders>
              <w:tl2br w:val="nil"/>
              <w:tr2bl w:val="nil"/>
            </w:tcBorders>
            <w:vAlign w:val="center"/>
          </w:tcPr>
          <w:p w14:paraId="1E065CC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自然扩散</w:t>
            </w:r>
          </w:p>
        </w:tc>
        <w:tc>
          <w:tcPr>
            <w:tcW w:w="1127" w:type="pct"/>
            <w:tcBorders>
              <w:tl2br w:val="nil"/>
              <w:tr2bl w:val="nil"/>
            </w:tcBorders>
            <w:vAlign w:val="center"/>
          </w:tcPr>
          <w:p w14:paraId="4C5254B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对环境影响不大</w:t>
            </w:r>
          </w:p>
        </w:tc>
      </w:tr>
      <w:tr w14:paraId="7C920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restart"/>
            <w:tcBorders>
              <w:tl2br w:val="nil"/>
              <w:tr2bl w:val="nil"/>
            </w:tcBorders>
            <w:vAlign w:val="center"/>
          </w:tcPr>
          <w:p w14:paraId="00369F1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地表水环境</w:t>
            </w:r>
          </w:p>
        </w:tc>
        <w:tc>
          <w:tcPr>
            <w:tcW w:w="291" w:type="pct"/>
            <w:vMerge w:val="restart"/>
            <w:tcBorders>
              <w:tl2br w:val="nil"/>
              <w:tr2bl w:val="nil"/>
            </w:tcBorders>
            <w:vAlign w:val="center"/>
          </w:tcPr>
          <w:p w14:paraId="09994E2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施工期</w:t>
            </w:r>
          </w:p>
        </w:tc>
        <w:tc>
          <w:tcPr>
            <w:tcW w:w="894" w:type="pct"/>
            <w:gridSpan w:val="2"/>
            <w:tcBorders>
              <w:tl2br w:val="nil"/>
              <w:tr2bl w:val="nil"/>
            </w:tcBorders>
            <w:vAlign w:val="center"/>
          </w:tcPr>
          <w:p w14:paraId="7C612659">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生活污水</w:t>
            </w:r>
          </w:p>
        </w:tc>
        <w:tc>
          <w:tcPr>
            <w:tcW w:w="657" w:type="pct"/>
            <w:tcBorders>
              <w:tl2br w:val="nil"/>
              <w:tr2bl w:val="nil"/>
            </w:tcBorders>
            <w:vAlign w:val="center"/>
          </w:tcPr>
          <w:p w14:paraId="7FAA27E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BOD</w:t>
            </w:r>
            <w:r>
              <w:rPr>
                <w:rFonts w:ascii="Times New Roman" w:hAnsi="Times New Roman" w:eastAsia="宋体"/>
                <w:bCs/>
                <w:color w:val="000000" w:themeColor="text1"/>
                <w:sz w:val="24"/>
                <w:szCs w:val="24"/>
                <w:highlight w:val="none"/>
                <w:vertAlign w:val="subscript"/>
                <w14:textFill>
                  <w14:solidFill>
                    <w14:schemeClr w14:val="tx1"/>
                  </w14:solidFill>
                </w14:textFill>
              </w:rPr>
              <w:t>5</w:t>
            </w:r>
            <w:r>
              <w:rPr>
                <w:rFonts w:ascii="Times New Roman" w:hAnsi="Times New Roman" w:eastAsia="宋体"/>
                <w:bCs/>
                <w:color w:val="000000" w:themeColor="text1"/>
                <w:sz w:val="24"/>
                <w:szCs w:val="24"/>
                <w:highlight w:val="none"/>
                <w14:textFill>
                  <w14:solidFill>
                    <w14:schemeClr w14:val="tx1"/>
                  </w14:solidFill>
                </w14:textFill>
              </w:rPr>
              <w:t>、COD</w:t>
            </w:r>
            <w:r>
              <w:rPr>
                <w:rFonts w:ascii="Times New Roman" w:hAnsi="Times New Roman" w:eastAsia="宋体"/>
                <w:bCs/>
                <w:color w:val="000000" w:themeColor="text1"/>
                <w:sz w:val="24"/>
                <w:szCs w:val="24"/>
                <w:highlight w:val="none"/>
                <w:vertAlign w:val="subscript"/>
                <w14:textFill>
                  <w14:solidFill>
                    <w14:schemeClr w14:val="tx1"/>
                  </w14:solidFill>
                </w14:textFill>
              </w:rPr>
              <w:t>cr</w:t>
            </w:r>
            <w:r>
              <w:rPr>
                <w:rFonts w:ascii="Times New Roman" w:hAnsi="Times New Roman" w:eastAsia="宋体"/>
                <w:bCs/>
                <w:color w:val="000000" w:themeColor="text1"/>
                <w:sz w:val="24"/>
                <w:szCs w:val="24"/>
                <w:highlight w:val="none"/>
                <w14:textFill>
                  <w14:solidFill>
                    <w14:schemeClr w14:val="tx1"/>
                  </w14:solidFill>
                </w14:textFill>
              </w:rPr>
              <w:t>、SS、氨氮、动植物油</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等</w:t>
            </w:r>
          </w:p>
        </w:tc>
        <w:tc>
          <w:tcPr>
            <w:tcW w:w="1316" w:type="pct"/>
            <w:tcBorders>
              <w:tl2br w:val="nil"/>
              <w:tr2bl w:val="nil"/>
            </w:tcBorders>
            <w:vAlign w:val="center"/>
          </w:tcPr>
          <w:p w14:paraId="5F966135">
            <w:pPr>
              <w:pStyle w:val="14"/>
              <w:keepNext w:val="0"/>
              <w:keepLines w:val="0"/>
              <w:pageBreakBefore w:val="0"/>
              <w:pBdr>
                <w:bottom w:val="none" w:color="auto" w:sz="0" w:space="0"/>
              </w:pBdr>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依托</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租赁民房已建污水处理设施</w:t>
            </w:r>
            <w:r>
              <w:rPr>
                <w:rFonts w:ascii="Times New Roman" w:hAnsi="Times New Roman" w:eastAsia="宋体"/>
                <w:color w:val="000000" w:themeColor="text1"/>
                <w:sz w:val="24"/>
                <w:szCs w:val="24"/>
                <w:highlight w:val="none"/>
                <w14:textFill>
                  <w14:solidFill>
                    <w14:schemeClr w14:val="tx1"/>
                  </w14:solidFill>
                </w14:textFill>
              </w:rPr>
              <w:t>处理</w:t>
            </w:r>
          </w:p>
        </w:tc>
        <w:tc>
          <w:tcPr>
            <w:tcW w:w="1127" w:type="pct"/>
            <w:vMerge w:val="restart"/>
            <w:tcBorders>
              <w:tl2br w:val="nil"/>
              <w:tr2bl w:val="nil"/>
            </w:tcBorders>
            <w:vAlign w:val="center"/>
          </w:tcPr>
          <w:p w14:paraId="60EB8E07">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不外排，对环境影响较小</w:t>
            </w:r>
          </w:p>
        </w:tc>
      </w:tr>
      <w:tr w14:paraId="5BF0F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55A2E405">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6D017256">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4DB83A02">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施工废水</w:t>
            </w:r>
          </w:p>
        </w:tc>
        <w:tc>
          <w:tcPr>
            <w:tcW w:w="657" w:type="pct"/>
            <w:tcBorders>
              <w:tl2br w:val="nil"/>
              <w:tr2bl w:val="nil"/>
            </w:tcBorders>
            <w:vAlign w:val="center"/>
          </w:tcPr>
          <w:p w14:paraId="1252BE3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SS、石油类</w:t>
            </w:r>
          </w:p>
        </w:tc>
        <w:tc>
          <w:tcPr>
            <w:tcW w:w="1316" w:type="pct"/>
            <w:tcBorders>
              <w:tl2br w:val="nil"/>
              <w:tr2bl w:val="nil"/>
            </w:tcBorders>
          </w:tcPr>
          <w:p w14:paraId="2E0D8651">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隔油</w:t>
            </w:r>
            <w:r>
              <w:rPr>
                <w:rFonts w:ascii="Times New Roman" w:hAnsi="Times New Roman" w:eastAsia="宋体"/>
                <w:color w:val="000000" w:themeColor="text1"/>
                <w:sz w:val="24"/>
                <w:szCs w:val="24"/>
                <w:highlight w:val="none"/>
                <w14:textFill>
                  <w14:solidFill>
                    <w14:schemeClr w14:val="tx1"/>
                  </w14:solidFill>
                </w14:textFill>
              </w:rPr>
              <w:t>沉淀池</w:t>
            </w:r>
            <w:r>
              <w:rPr>
                <w:rFonts w:hint="eastAsia" w:ascii="Times New Roman" w:hAnsi="Times New Roman" w:eastAsia="宋体"/>
                <w:color w:val="000000" w:themeColor="text1"/>
                <w:sz w:val="24"/>
                <w:szCs w:val="24"/>
                <w:highlight w:val="none"/>
                <w14:textFill>
                  <w14:solidFill>
                    <w14:schemeClr w14:val="tx1"/>
                  </w14:solidFill>
                </w14:textFill>
              </w:rPr>
              <w:t>后回用于施工</w:t>
            </w:r>
          </w:p>
        </w:tc>
        <w:tc>
          <w:tcPr>
            <w:tcW w:w="1127" w:type="pct"/>
            <w:vMerge w:val="continue"/>
            <w:tcBorders>
              <w:tl2br w:val="nil"/>
              <w:tr2bl w:val="nil"/>
            </w:tcBorders>
            <w:vAlign w:val="center"/>
          </w:tcPr>
          <w:p w14:paraId="72E2A716">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r>
      <w:tr w14:paraId="4AE0B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76BC02A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restart"/>
            <w:tcBorders>
              <w:tl2br w:val="nil"/>
              <w:tr2bl w:val="nil"/>
            </w:tcBorders>
            <w:vAlign w:val="center"/>
          </w:tcPr>
          <w:p w14:paraId="6B34A9D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营运期</w:t>
            </w:r>
          </w:p>
        </w:tc>
        <w:tc>
          <w:tcPr>
            <w:tcW w:w="894" w:type="pct"/>
            <w:gridSpan w:val="2"/>
            <w:tcBorders>
              <w:tl2br w:val="nil"/>
              <w:tr2bl w:val="nil"/>
            </w:tcBorders>
            <w:vAlign w:val="center"/>
          </w:tcPr>
          <w:p w14:paraId="25A9831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生活污水</w:t>
            </w:r>
          </w:p>
        </w:tc>
        <w:tc>
          <w:tcPr>
            <w:tcW w:w="657" w:type="pct"/>
            <w:tcBorders>
              <w:tl2br w:val="nil"/>
              <w:tr2bl w:val="nil"/>
            </w:tcBorders>
            <w:vAlign w:val="center"/>
          </w:tcPr>
          <w:p w14:paraId="31025B5C">
            <w:pPr>
              <w:keepNext w:val="0"/>
              <w:keepLines w:val="0"/>
              <w:pageBreakBefore w:val="0"/>
              <w:widowControl/>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COD、BOD</w:t>
            </w:r>
            <w:r>
              <w:rPr>
                <w:rFonts w:ascii="Times New Roman" w:hAnsi="Times New Roman" w:eastAsia="宋体"/>
                <w:color w:val="000000" w:themeColor="text1"/>
                <w:sz w:val="24"/>
                <w:szCs w:val="24"/>
                <w:highlight w:val="none"/>
                <w:vertAlign w:val="subscript"/>
                <w14:textFill>
                  <w14:solidFill>
                    <w14:schemeClr w14:val="tx1"/>
                  </w14:solidFill>
                </w14:textFill>
              </w:rPr>
              <w:t>5</w:t>
            </w:r>
            <w:r>
              <w:rPr>
                <w:rFonts w:ascii="Times New Roman" w:hAnsi="Times New Roman" w:eastAsia="宋体"/>
                <w:color w:val="000000" w:themeColor="text1"/>
                <w:sz w:val="24"/>
                <w:szCs w:val="24"/>
                <w:highlight w:val="none"/>
                <w14:textFill>
                  <w14:solidFill>
                    <w14:schemeClr w14:val="tx1"/>
                  </w14:solidFill>
                </w14:textFill>
              </w:rPr>
              <w:t>、SS、氨氮</w:t>
            </w:r>
          </w:p>
        </w:tc>
        <w:tc>
          <w:tcPr>
            <w:tcW w:w="1316" w:type="pct"/>
            <w:tcBorders>
              <w:tl2br w:val="nil"/>
              <w:tr2bl w:val="nil"/>
            </w:tcBorders>
            <w:vAlign w:val="center"/>
          </w:tcPr>
          <w:p w14:paraId="19A3A0C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化粪池</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30</w:t>
            </w:r>
            <w:r>
              <w:rPr>
                <w:rFonts w:hint="eastAsia" w:ascii="Times New Roman" w:hAnsi="Times New Roman" w:eastAsia="宋体"/>
                <w:color w:val="000000" w:themeColor="text1"/>
                <w:sz w:val="24"/>
                <w:szCs w:val="24"/>
                <w:highlight w:val="none"/>
                <w:lang w:eastAsia="zh-CN"/>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处理</w:t>
            </w:r>
            <w:r>
              <w:rPr>
                <w:rFonts w:hint="eastAsia" w:ascii="Times New Roman" w:hAnsi="Times New Roman" w:eastAsia="宋体"/>
                <w:color w:val="000000" w:themeColor="text1"/>
                <w:sz w:val="24"/>
                <w:szCs w:val="24"/>
                <w:highlight w:val="none"/>
                <w:lang w:eastAsia="zh-CN"/>
                <w14:textFill>
                  <w14:solidFill>
                    <w14:schemeClr w14:val="tx1"/>
                  </w14:solidFill>
                </w14:textFill>
              </w:rPr>
              <w:t>后由吸污车拉运至宝梵污水处理厂</w:t>
            </w:r>
          </w:p>
        </w:tc>
        <w:tc>
          <w:tcPr>
            <w:tcW w:w="1127" w:type="pct"/>
            <w:tcBorders>
              <w:tl2br w:val="nil"/>
              <w:tr2bl w:val="nil"/>
            </w:tcBorders>
            <w:vAlign w:val="center"/>
          </w:tcPr>
          <w:p w14:paraId="036D3F6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不外排</w:t>
            </w:r>
          </w:p>
        </w:tc>
      </w:tr>
      <w:tr w14:paraId="03B35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63075AD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D2C592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6" w:type="pct"/>
            <w:vMerge w:val="restart"/>
            <w:tcBorders>
              <w:tl2br w:val="nil"/>
              <w:tr2bl w:val="nil"/>
            </w:tcBorders>
            <w:vAlign w:val="center"/>
          </w:tcPr>
          <w:p w14:paraId="79B232F3">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生产</w:t>
            </w:r>
          </w:p>
          <w:p w14:paraId="1D3AF883">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废水</w:t>
            </w:r>
          </w:p>
        </w:tc>
        <w:tc>
          <w:tcPr>
            <w:tcW w:w="447" w:type="pct"/>
            <w:tcBorders>
              <w:tl2br w:val="nil"/>
              <w:tr2bl w:val="nil"/>
            </w:tcBorders>
            <w:vAlign w:val="center"/>
          </w:tcPr>
          <w:p w14:paraId="47707E8A">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搅拌机冲洗、地坪冲洗、洗砂废水</w:t>
            </w:r>
          </w:p>
        </w:tc>
        <w:tc>
          <w:tcPr>
            <w:tcW w:w="657" w:type="pct"/>
            <w:tcBorders>
              <w:tl2br w:val="nil"/>
              <w:tr2bl w:val="nil"/>
            </w:tcBorders>
            <w:vAlign w:val="center"/>
          </w:tcPr>
          <w:p w14:paraId="51410CC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SS</w:t>
            </w:r>
          </w:p>
        </w:tc>
        <w:tc>
          <w:tcPr>
            <w:tcW w:w="1316" w:type="pct"/>
            <w:tcBorders>
              <w:tl2br w:val="nil"/>
              <w:tr2bl w:val="nil"/>
            </w:tcBorders>
            <w:vAlign w:val="center"/>
          </w:tcPr>
          <w:p w14:paraId="534FFB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搅拌机冲洗、地坪冲洗废水</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等</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经收集后进入砂石分离器，污水收集池，进入搅拌池，同时添加絮凝沉淀剂（PAM、PAC），上清液回用，压滤泥饼收集后定期外运至G42线南充至成都段高速公路扩容工程弃渣场（经纬度：105.5903，30.6304）</w:t>
            </w:r>
            <w:r>
              <w:rPr>
                <w:rFonts w:hint="eastAsia" w:eastAsia="宋体"/>
                <w:color w:val="000000" w:themeColor="text1"/>
                <w:sz w:val="24"/>
                <w:szCs w:val="24"/>
                <w:highlight w:val="none"/>
                <w:lang w:eastAsia="zh-CN"/>
                <w14:textFill>
                  <w14:solidFill>
                    <w14:schemeClr w14:val="tx1"/>
                  </w14:solidFill>
                </w14:textFill>
              </w:rPr>
              <w:t>。</w:t>
            </w:r>
          </w:p>
        </w:tc>
        <w:tc>
          <w:tcPr>
            <w:tcW w:w="1127" w:type="pct"/>
            <w:tcBorders>
              <w:tl2br w:val="nil"/>
              <w:tr2bl w:val="nil"/>
            </w:tcBorders>
            <w:vAlign w:val="center"/>
          </w:tcPr>
          <w:p w14:paraId="307A64F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降尘</w:t>
            </w:r>
          </w:p>
        </w:tc>
      </w:tr>
      <w:tr w14:paraId="52420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232097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25DCB52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6" w:type="pct"/>
            <w:vMerge w:val="continue"/>
            <w:tcBorders>
              <w:tl2br w:val="nil"/>
              <w:tr2bl w:val="nil"/>
            </w:tcBorders>
            <w:vAlign w:val="center"/>
          </w:tcPr>
          <w:p w14:paraId="302ECD85">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7" w:type="pct"/>
            <w:tcBorders>
              <w:tl2br w:val="nil"/>
              <w:tr2bl w:val="nil"/>
            </w:tcBorders>
            <w:vAlign w:val="center"/>
          </w:tcPr>
          <w:p w14:paraId="77990ED3">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养护废水及浓水</w:t>
            </w:r>
          </w:p>
        </w:tc>
        <w:tc>
          <w:tcPr>
            <w:tcW w:w="657" w:type="pct"/>
            <w:tcBorders>
              <w:tl2br w:val="nil"/>
              <w:tr2bl w:val="nil"/>
            </w:tcBorders>
            <w:vAlign w:val="center"/>
          </w:tcPr>
          <w:p w14:paraId="0E9F07BA">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bCs/>
                <w:color w:val="000000" w:themeColor="text1"/>
                <w:sz w:val="24"/>
                <w:szCs w:val="24"/>
                <w:highlight w:val="none"/>
                <w:lang w:eastAsia="zh-CN"/>
                <w14:textFill>
                  <w14:solidFill>
                    <w14:schemeClr w14:val="tx1"/>
                  </w14:solidFill>
                </w14:textFill>
              </w:rPr>
              <w:t>全盐量、</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SS</w:t>
            </w:r>
          </w:p>
        </w:tc>
        <w:tc>
          <w:tcPr>
            <w:tcW w:w="1316" w:type="pct"/>
            <w:tcBorders>
              <w:tl2br w:val="nil"/>
              <w:tr2bl w:val="nil"/>
            </w:tcBorders>
            <w:vAlign w:val="center"/>
          </w:tcPr>
          <w:p w14:paraId="5DE6061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养护废水及浓水经沉淀池（</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10m</w:t>
            </w:r>
            <w:r>
              <w:rPr>
                <w:rFonts w:hint="eastAsia" w:ascii="Times New Roman" w:hAnsi="Times New Roman" w:eastAsia="宋体"/>
                <w:color w:val="000000" w:themeColor="text1"/>
                <w:kern w:val="0"/>
                <w:sz w:val="24"/>
                <w:szCs w:val="24"/>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）处理后回用于洒水降尘等</w:t>
            </w:r>
          </w:p>
        </w:tc>
        <w:tc>
          <w:tcPr>
            <w:tcW w:w="1127" w:type="pct"/>
            <w:tcBorders>
              <w:tl2br w:val="nil"/>
              <w:tr2bl w:val="nil"/>
            </w:tcBorders>
            <w:vAlign w:val="center"/>
          </w:tcPr>
          <w:p w14:paraId="2D81C5C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降尘</w:t>
            </w:r>
          </w:p>
        </w:tc>
      </w:tr>
      <w:tr w14:paraId="33492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0812747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458E0A1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6" w:type="pct"/>
            <w:vMerge w:val="continue"/>
            <w:tcBorders>
              <w:tl2br w:val="nil"/>
              <w:tr2bl w:val="nil"/>
            </w:tcBorders>
            <w:vAlign w:val="center"/>
          </w:tcPr>
          <w:p w14:paraId="6C7BE9BB">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7" w:type="pct"/>
            <w:tcBorders>
              <w:tl2br w:val="nil"/>
              <w:tr2bl w:val="nil"/>
            </w:tcBorders>
            <w:vAlign w:val="center"/>
          </w:tcPr>
          <w:p w14:paraId="436A2FD9">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运输车辆冲洗废水</w:t>
            </w:r>
          </w:p>
        </w:tc>
        <w:tc>
          <w:tcPr>
            <w:tcW w:w="657" w:type="pct"/>
            <w:tcBorders>
              <w:tl2br w:val="nil"/>
              <w:tr2bl w:val="nil"/>
            </w:tcBorders>
            <w:vAlign w:val="center"/>
          </w:tcPr>
          <w:p w14:paraId="2B6B017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SS、石油类</w:t>
            </w:r>
          </w:p>
        </w:tc>
        <w:tc>
          <w:tcPr>
            <w:tcW w:w="1316" w:type="pct"/>
            <w:tcBorders>
              <w:tl2br w:val="nil"/>
              <w:tr2bl w:val="nil"/>
            </w:tcBorders>
            <w:vAlign w:val="center"/>
          </w:tcPr>
          <w:p w14:paraId="64B7FB4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运输车辆冲洗废水</w:t>
            </w:r>
            <w:r>
              <w:rPr>
                <w:rFonts w:hint="eastAsia" w:ascii="Times New Roman" w:hAnsi="Times New Roman" w:eastAsia="宋体"/>
                <w:color w:val="000000" w:themeColor="text1"/>
                <w:kern w:val="0"/>
                <w:sz w:val="24"/>
                <w:szCs w:val="24"/>
                <w:highlight w:val="none"/>
                <w14:textFill>
                  <w14:solidFill>
                    <w14:schemeClr w14:val="tx1"/>
                  </w14:solidFill>
                </w14:textFill>
              </w:rPr>
              <w:t>：经隔油沉淀池（6m</w:t>
            </w:r>
            <w:r>
              <w:rPr>
                <w:rFonts w:hint="eastAsia" w:ascii="Times New Roman" w:hAnsi="Times New Roman" w:eastAsia="宋体"/>
                <w:color w:val="000000" w:themeColor="text1"/>
                <w:kern w:val="0"/>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kern w:val="0"/>
                <w:sz w:val="24"/>
                <w:szCs w:val="24"/>
                <w:highlight w:val="none"/>
                <w14:textFill>
                  <w14:solidFill>
                    <w14:schemeClr w14:val="tx1"/>
                  </w14:solidFill>
                </w14:textFill>
              </w:rPr>
              <w:t>）处理后用于洗车</w:t>
            </w:r>
          </w:p>
        </w:tc>
        <w:tc>
          <w:tcPr>
            <w:tcW w:w="1127" w:type="pct"/>
            <w:tcBorders>
              <w:tl2br w:val="nil"/>
              <w:tr2bl w:val="nil"/>
            </w:tcBorders>
            <w:vAlign w:val="center"/>
          </w:tcPr>
          <w:p w14:paraId="00F8352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车辆冲洗</w:t>
            </w:r>
          </w:p>
        </w:tc>
      </w:tr>
      <w:tr w14:paraId="75D92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3471136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4B72A8BA">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675B74C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初期雨水</w:t>
            </w:r>
          </w:p>
        </w:tc>
        <w:tc>
          <w:tcPr>
            <w:tcW w:w="657" w:type="pct"/>
            <w:tcBorders>
              <w:tl2br w:val="nil"/>
              <w:tr2bl w:val="nil"/>
            </w:tcBorders>
            <w:vAlign w:val="center"/>
          </w:tcPr>
          <w:p w14:paraId="336E0DDB">
            <w:pPr>
              <w:keepNext w:val="0"/>
              <w:keepLines w:val="0"/>
              <w:pageBreakBefore w:val="0"/>
              <w:widowControl/>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SS</w:t>
            </w:r>
          </w:p>
        </w:tc>
        <w:tc>
          <w:tcPr>
            <w:tcW w:w="1316" w:type="pct"/>
            <w:tcBorders>
              <w:tl2br w:val="nil"/>
              <w:tr2bl w:val="nil"/>
            </w:tcBorders>
            <w:vAlign w:val="center"/>
          </w:tcPr>
          <w:p w14:paraId="5B8DB36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进入经</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雨水收集池</w:t>
            </w:r>
            <w:r>
              <w:rPr>
                <w:rFonts w:ascii="Times New Roman" w:hAnsi="Times New Roman" w:eastAsia="宋体"/>
                <w:color w:val="000000" w:themeColor="text1"/>
                <w:kern w:val="0"/>
                <w:sz w:val="24"/>
                <w:szCs w:val="24"/>
                <w:highlight w:val="none"/>
                <w14:textFill>
                  <w14:solidFill>
                    <w14:schemeClr w14:val="tx1"/>
                  </w14:solidFill>
                </w14:textFill>
              </w:rPr>
              <w:t>池沉淀</w:t>
            </w:r>
            <w:r>
              <w:rPr>
                <w:rFonts w:hint="eastAsia" w:ascii="Times New Roman" w:hAnsi="Times New Roman" w:eastAsia="宋体"/>
                <w:color w:val="000000" w:themeColor="text1"/>
                <w:kern w:val="0"/>
                <w:sz w:val="24"/>
                <w:szCs w:val="24"/>
                <w:highlight w:val="none"/>
                <w14:textFill>
                  <w14:solidFill>
                    <w14:schemeClr w14:val="tx1"/>
                  </w14:solidFill>
                </w14:textFill>
              </w:rPr>
              <w:t>（容积</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kern w:val="0"/>
                <w:sz w:val="24"/>
                <w:szCs w:val="24"/>
                <w:highlight w:val="none"/>
                <w14:textFill>
                  <w14:solidFill>
                    <w14:schemeClr w14:val="tx1"/>
                  </w14:solidFill>
                </w14:textFill>
              </w:rPr>
              <w:t>）</w:t>
            </w:r>
            <w:r>
              <w:rPr>
                <w:rFonts w:ascii="Times New Roman" w:hAnsi="Times New Roman" w:eastAsia="宋体"/>
                <w:color w:val="000000" w:themeColor="text1"/>
                <w:kern w:val="0"/>
                <w:sz w:val="24"/>
                <w:szCs w:val="24"/>
                <w:highlight w:val="none"/>
                <w14:textFill>
                  <w14:solidFill>
                    <w14:schemeClr w14:val="tx1"/>
                  </w14:solidFill>
                </w14:textFill>
              </w:rPr>
              <w:t>处理后回用</w:t>
            </w:r>
          </w:p>
        </w:tc>
        <w:tc>
          <w:tcPr>
            <w:tcW w:w="1127" w:type="pct"/>
            <w:tcBorders>
              <w:tl2br w:val="nil"/>
              <w:tr2bl w:val="nil"/>
            </w:tcBorders>
            <w:vAlign w:val="center"/>
          </w:tcPr>
          <w:p w14:paraId="3D8A7023">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回用于生产</w:t>
            </w:r>
          </w:p>
        </w:tc>
      </w:tr>
      <w:tr w14:paraId="603EE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restart"/>
            <w:tcBorders>
              <w:tl2br w:val="nil"/>
              <w:tr2bl w:val="nil"/>
            </w:tcBorders>
            <w:vAlign w:val="center"/>
          </w:tcPr>
          <w:p w14:paraId="5BC1C20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声环境</w:t>
            </w:r>
          </w:p>
        </w:tc>
        <w:tc>
          <w:tcPr>
            <w:tcW w:w="291" w:type="pct"/>
            <w:tcBorders>
              <w:tl2br w:val="nil"/>
              <w:tr2bl w:val="nil"/>
            </w:tcBorders>
            <w:vAlign w:val="center"/>
          </w:tcPr>
          <w:p w14:paraId="0F91CD4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施工期</w:t>
            </w:r>
          </w:p>
        </w:tc>
        <w:tc>
          <w:tcPr>
            <w:tcW w:w="894" w:type="pct"/>
            <w:gridSpan w:val="2"/>
            <w:tcBorders>
              <w:tl2br w:val="nil"/>
              <w:tr2bl w:val="nil"/>
            </w:tcBorders>
            <w:vAlign w:val="center"/>
          </w:tcPr>
          <w:p w14:paraId="62E4760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设备</w:t>
            </w:r>
          </w:p>
        </w:tc>
        <w:tc>
          <w:tcPr>
            <w:tcW w:w="657" w:type="pct"/>
            <w:tcBorders>
              <w:tl2br w:val="nil"/>
              <w:tr2bl w:val="nil"/>
            </w:tcBorders>
            <w:vAlign w:val="center"/>
          </w:tcPr>
          <w:p w14:paraId="2FFD03DA">
            <w:pPr>
              <w:keepNext w:val="0"/>
              <w:keepLines w:val="0"/>
              <w:pageBreakBefore w:val="0"/>
              <w:widowControl/>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噪声</w:t>
            </w:r>
          </w:p>
        </w:tc>
        <w:tc>
          <w:tcPr>
            <w:tcW w:w="1316" w:type="pct"/>
            <w:tcBorders>
              <w:tl2br w:val="nil"/>
              <w:tr2bl w:val="nil"/>
            </w:tcBorders>
            <w:vAlign w:val="center"/>
          </w:tcPr>
          <w:p w14:paraId="29E640C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加强维护、</w:t>
            </w:r>
            <w:r>
              <w:rPr>
                <w:rFonts w:hint="eastAsia" w:ascii="Times New Roman" w:hAnsi="Times New Roman" w:eastAsia="宋体"/>
                <w:color w:val="000000" w:themeColor="text1"/>
                <w:sz w:val="24"/>
                <w:szCs w:val="24"/>
                <w:highlight w:val="none"/>
                <w:lang w:eastAsia="zh-CN"/>
                <w14:textFill>
                  <w14:solidFill>
                    <w14:schemeClr w14:val="tx1"/>
                  </w14:solidFill>
                </w14:textFill>
              </w:rPr>
              <w:t>距离</w:t>
            </w:r>
            <w:r>
              <w:rPr>
                <w:rFonts w:ascii="Times New Roman" w:hAnsi="Times New Roman" w:eastAsia="宋体"/>
                <w:color w:val="000000" w:themeColor="text1"/>
                <w:sz w:val="24"/>
                <w:szCs w:val="24"/>
                <w:highlight w:val="none"/>
                <w14:textFill>
                  <w14:solidFill>
                    <w14:schemeClr w14:val="tx1"/>
                  </w14:solidFill>
                </w14:textFill>
              </w:rPr>
              <w:t>衰减</w:t>
            </w:r>
          </w:p>
        </w:tc>
        <w:tc>
          <w:tcPr>
            <w:tcW w:w="1127" w:type="pct"/>
            <w:tcBorders>
              <w:tl2br w:val="nil"/>
              <w:tr2bl w:val="nil"/>
            </w:tcBorders>
            <w:vAlign w:val="center"/>
          </w:tcPr>
          <w:p w14:paraId="614F9219">
            <w:pPr>
              <w:keepNext w:val="0"/>
              <w:keepLines w:val="0"/>
              <w:pageBreakBefore w:val="0"/>
              <w:kinsoku/>
              <w:wordWrap w:val="0"/>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《建筑施工场界环境噪声排放标准》</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GB12523-2011</w:t>
            </w:r>
            <w:r>
              <w:rPr>
                <w:rFonts w:hint="eastAsia" w:ascii="Times New Roman" w:hAnsi="Times New Roman" w:eastAsia="宋体"/>
                <w:color w:val="000000" w:themeColor="text1"/>
                <w:sz w:val="24"/>
                <w:szCs w:val="24"/>
                <w:highlight w:val="none"/>
                <w14:textFill>
                  <w14:solidFill>
                    <w14:schemeClr w14:val="tx1"/>
                  </w14:solidFill>
                </w14:textFill>
              </w:rPr>
              <w:t>）</w:t>
            </w:r>
          </w:p>
        </w:tc>
      </w:tr>
      <w:tr w14:paraId="628E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0816076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tcBorders>
              <w:tl2br w:val="nil"/>
              <w:tr2bl w:val="nil"/>
            </w:tcBorders>
            <w:vAlign w:val="center"/>
          </w:tcPr>
          <w:p w14:paraId="2B734AC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营运期</w:t>
            </w:r>
          </w:p>
        </w:tc>
        <w:tc>
          <w:tcPr>
            <w:tcW w:w="894" w:type="pct"/>
            <w:gridSpan w:val="2"/>
            <w:tcBorders>
              <w:tl2br w:val="nil"/>
              <w:tr2bl w:val="nil"/>
            </w:tcBorders>
            <w:vAlign w:val="center"/>
          </w:tcPr>
          <w:p w14:paraId="12697D27">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设备</w:t>
            </w:r>
          </w:p>
        </w:tc>
        <w:tc>
          <w:tcPr>
            <w:tcW w:w="657" w:type="pct"/>
            <w:tcBorders>
              <w:tl2br w:val="nil"/>
              <w:tr2bl w:val="nil"/>
            </w:tcBorders>
            <w:vAlign w:val="center"/>
          </w:tcPr>
          <w:p w14:paraId="4375052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噪声</w:t>
            </w:r>
          </w:p>
        </w:tc>
        <w:tc>
          <w:tcPr>
            <w:tcW w:w="1316" w:type="pct"/>
            <w:tcBorders>
              <w:tl2br w:val="nil"/>
              <w:tr2bl w:val="nil"/>
            </w:tcBorders>
            <w:vAlign w:val="center"/>
          </w:tcPr>
          <w:p w14:paraId="5B38382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基础减震、</w:t>
            </w:r>
            <w:r>
              <w:rPr>
                <w:rFonts w:ascii="Times New Roman" w:hAnsi="Times New Roman" w:eastAsia="宋体"/>
                <w:color w:val="000000" w:themeColor="text1"/>
                <w:sz w:val="24"/>
                <w:szCs w:val="24"/>
                <w:highlight w:val="none"/>
                <w14:textFill>
                  <w14:solidFill>
                    <w14:schemeClr w14:val="tx1"/>
                  </w14:solidFill>
                </w14:textFill>
              </w:rPr>
              <w:t>加强维护、</w:t>
            </w:r>
            <w:r>
              <w:rPr>
                <w:rFonts w:hint="eastAsia" w:ascii="Times New Roman" w:hAnsi="Times New Roman" w:eastAsia="宋体"/>
                <w:color w:val="000000" w:themeColor="text1"/>
                <w:sz w:val="24"/>
                <w:szCs w:val="24"/>
                <w:highlight w:val="none"/>
                <w:lang w:eastAsia="zh-CN"/>
                <w14:textFill>
                  <w14:solidFill>
                    <w14:schemeClr w14:val="tx1"/>
                  </w14:solidFill>
                </w14:textFill>
              </w:rPr>
              <w:t>厂房隔声、距离</w:t>
            </w:r>
            <w:r>
              <w:rPr>
                <w:rFonts w:ascii="Times New Roman" w:hAnsi="Times New Roman" w:eastAsia="宋体"/>
                <w:color w:val="000000" w:themeColor="text1"/>
                <w:sz w:val="24"/>
                <w:szCs w:val="24"/>
                <w:highlight w:val="none"/>
                <w14:textFill>
                  <w14:solidFill>
                    <w14:schemeClr w14:val="tx1"/>
                  </w14:solidFill>
                </w14:textFill>
              </w:rPr>
              <w:t>衰减</w:t>
            </w:r>
          </w:p>
        </w:tc>
        <w:tc>
          <w:tcPr>
            <w:tcW w:w="1127" w:type="pct"/>
            <w:tcBorders>
              <w:tl2br w:val="nil"/>
              <w:tr2bl w:val="nil"/>
            </w:tcBorders>
            <w:vAlign w:val="center"/>
          </w:tcPr>
          <w:p w14:paraId="1D3DEA37">
            <w:pPr>
              <w:keepNext w:val="0"/>
              <w:keepLines w:val="0"/>
              <w:pageBreakBefore w:val="0"/>
              <w:tabs>
                <w:tab w:val="left" w:pos="600"/>
              </w:tabs>
              <w:kinsoku/>
              <w:wordWrap w:val="0"/>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《工业企业厂界环境噪声排放标准》（GB12348-2008）中</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w:t>
            </w:r>
            <w:r>
              <w:rPr>
                <w:rFonts w:ascii="Times New Roman" w:hAnsi="Times New Roman" w:eastAsia="宋体"/>
                <w:color w:val="000000" w:themeColor="text1"/>
                <w:sz w:val="24"/>
                <w:szCs w:val="24"/>
                <w:highlight w:val="none"/>
                <w14:textFill>
                  <w14:solidFill>
                    <w14:schemeClr w14:val="tx1"/>
                  </w14:solidFill>
                </w14:textFill>
              </w:rPr>
              <w:t>类排放标准</w:t>
            </w:r>
          </w:p>
        </w:tc>
      </w:tr>
      <w:tr w14:paraId="4D676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1E43E7B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电磁辐射</w:t>
            </w:r>
          </w:p>
        </w:tc>
        <w:tc>
          <w:tcPr>
            <w:tcW w:w="291" w:type="pct"/>
            <w:tcBorders>
              <w:tl2br w:val="nil"/>
              <w:tr2bl w:val="nil"/>
            </w:tcBorders>
            <w:vAlign w:val="center"/>
          </w:tcPr>
          <w:p w14:paraId="341B3DA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c>
          <w:tcPr>
            <w:tcW w:w="894" w:type="pct"/>
            <w:gridSpan w:val="2"/>
            <w:tcBorders>
              <w:tl2br w:val="nil"/>
              <w:tr2bl w:val="nil"/>
            </w:tcBorders>
            <w:vAlign w:val="center"/>
          </w:tcPr>
          <w:p w14:paraId="17DED1F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w:t>
            </w:r>
          </w:p>
        </w:tc>
        <w:tc>
          <w:tcPr>
            <w:tcW w:w="657" w:type="pct"/>
            <w:tcBorders>
              <w:tl2br w:val="nil"/>
              <w:tr2bl w:val="nil"/>
            </w:tcBorders>
            <w:vAlign w:val="center"/>
          </w:tcPr>
          <w:p w14:paraId="3074A46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c>
          <w:tcPr>
            <w:tcW w:w="1316" w:type="pct"/>
            <w:tcBorders>
              <w:tl2br w:val="nil"/>
              <w:tr2bl w:val="nil"/>
            </w:tcBorders>
            <w:vAlign w:val="center"/>
          </w:tcPr>
          <w:p w14:paraId="0B4D9EB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c>
          <w:tcPr>
            <w:tcW w:w="1127" w:type="pct"/>
            <w:tcBorders>
              <w:tl2br w:val="nil"/>
              <w:tr2bl w:val="nil"/>
            </w:tcBorders>
            <w:vAlign w:val="center"/>
          </w:tcPr>
          <w:p w14:paraId="4E9B0B9E">
            <w:pPr>
              <w:keepNext w:val="0"/>
              <w:keepLines w:val="0"/>
              <w:pageBreakBefore w:val="0"/>
              <w:tabs>
                <w:tab w:val="left" w:pos="600"/>
              </w:tabs>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r>
      <w:tr w14:paraId="7C81A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0F66444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固体废物</w:t>
            </w:r>
          </w:p>
        </w:tc>
        <w:tc>
          <w:tcPr>
            <w:tcW w:w="4286" w:type="pct"/>
            <w:gridSpan w:val="6"/>
            <w:tcBorders>
              <w:tl2br w:val="nil"/>
              <w:tr2bl w:val="nil"/>
            </w:tcBorders>
            <w:vAlign w:val="center"/>
          </w:tcPr>
          <w:p w14:paraId="1E822932">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生活垃圾：经垃圾桶收集后交由环卫部门清运处理；</w:t>
            </w:r>
          </w:p>
          <w:p w14:paraId="22876819">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食堂餐厨垃圾、废油：交由具有餐厨垃圾处置资质单位处置；</w:t>
            </w:r>
          </w:p>
          <w:p w14:paraId="0F2633E1">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筒仓除尘器粉尘：回用于生产；</w:t>
            </w:r>
          </w:p>
          <w:p w14:paraId="213F126E">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沉淀池底泥</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（泥饼）、检验室硬化混凝土块</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清运至G42线南充至成都段高速公路扩容工程弃渣场（经纬度：105.5903，30.6304）</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w:t>
            </w:r>
          </w:p>
          <w:p w14:paraId="7FF25C9A">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钢筋边角废料</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：收集后统一</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外售至废品收购站综合利用</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w:t>
            </w:r>
          </w:p>
          <w:p w14:paraId="48824C35">
            <w:pPr>
              <w:keepNext w:val="0"/>
              <w:keepLines w:val="0"/>
              <w:pageBreakBefore w:val="0"/>
              <w:kinsoku/>
              <w:wordWrap/>
              <w:overflowPunct/>
              <w:topLinePunct w:val="0"/>
              <w:autoSpaceDE/>
              <w:autoSpaceDN/>
              <w:bidi w:val="0"/>
              <w:adjustRightInd w:val="0"/>
              <w:snapToGrid w:val="0"/>
              <w:spacing w:line="36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危废（废机油（含包装桶）、含油手套、废棉纱、隔油沉淀池废油污）：</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设置专门的危废暂存间（面积</w:t>
            </w:r>
            <w:r>
              <w:rPr>
                <w:rFonts w:hint="eastAsia"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3</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m</w:t>
            </w:r>
            <w:r>
              <w:rPr>
                <w:rFonts w:hint="default" w:ascii="Times New Roman" w:hAnsi="Times New Roman" w:eastAsia="宋体" w:cs="Times New Roman"/>
                <w:b w:val="0"/>
                <w:bCs w:val="0"/>
                <w:color w:val="000000" w:themeColor="text1"/>
                <w:kern w:val="0"/>
                <w:sz w:val="24"/>
                <w:szCs w:val="24"/>
                <w:highlight w:val="none"/>
                <w:vertAlign w:val="superscript"/>
                <w:lang w:val="en-US" w:eastAsia="zh-CN" w:bidi="ar-SA"/>
                <w14:textFill>
                  <w14:solidFill>
                    <w14:schemeClr w14:val="tx1"/>
                  </w14:solidFill>
                </w14:textFill>
              </w:rPr>
              <w:t>2</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），危废分类暂存于危废间，定期交由资质单位处理，与资质单位签订危废处置协议，建立危废处置台账</w:t>
            </w:r>
            <w:r>
              <w:rPr>
                <w:rFonts w:hint="eastAsia" w:ascii="Times New Roman" w:hAnsi="Times New Roman" w:eastAsia="宋体"/>
                <w:color w:val="000000" w:themeColor="text1"/>
                <w:sz w:val="24"/>
                <w:szCs w:val="24"/>
                <w:highlight w:val="none"/>
                <w14:textFill>
                  <w14:solidFill>
                    <w14:schemeClr w14:val="tx1"/>
                  </w14:solidFill>
                </w14:textFill>
              </w:rPr>
              <w:t>。</w:t>
            </w:r>
          </w:p>
        </w:tc>
      </w:tr>
      <w:tr w14:paraId="22903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3245466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土壤及地下水污染防治措施</w:t>
            </w:r>
          </w:p>
        </w:tc>
        <w:tc>
          <w:tcPr>
            <w:tcW w:w="4286" w:type="pct"/>
            <w:gridSpan w:val="6"/>
            <w:tcBorders>
              <w:tl2br w:val="nil"/>
              <w:tr2bl w:val="nil"/>
            </w:tcBorders>
            <w:vAlign w:val="center"/>
          </w:tcPr>
          <w:p w14:paraId="1A06347A">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0" w:firstLineChars="0"/>
              <w:jc w:val="left"/>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采取分区防渗措施：</w:t>
            </w:r>
          </w:p>
          <w:p w14:paraId="6616526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重点防渗区</w:t>
            </w:r>
            <w:r>
              <w:rPr>
                <w:rFonts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危废暂存间</w:t>
            </w:r>
            <w:r>
              <w:rPr>
                <w:rFonts w:ascii="Times New Roman" w:hAnsi="Times New Roman" w:eastAsia="宋体"/>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Mb≥6m，</w:t>
            </w:r>
            <w:r>
              <w:rPr>
                <w:rFonts w:ascii="Times New Roman" w:hAnsi="Times New Roman" w:eastAsia="宋体"/>
                <w:color w:val="000000" w:themeColor="text1"/>
                <w:sz w:val="24"/>
                <w:szCs w:val="24"/>
                <w:highlight w:val="none"/>
                <w14:textFill>
                  <w14:solidFill>
                    <w14:schemeClr w14:val="tx1"/>
                  </w14:solidFill>
                </w14:textFill>
              </w:rPr>
              <w:t>渗透系数≤10</w:t>
            </w:r>
            <w:r>
              <w:rPr>
                <w:rFonts w:ascii="Times New Roman" w:hAnsi="Times New Roman" w:eastAsia="宋体"/>
                <w:color w:val="000000" w:themeColor="text1"/>
                <w:sz w:val="24"/>
                <w:szCs w:val="24"/>
                <w:highlight w:val="none"/>
                <w:vertAlign w:val="superscript"/>
                <w14:textFill>
                  <w14:solidFill>
                    <w14:schemeClr w14:val="tx1"/>
                  </w14:solidFill>
                </w14:textFill>
              </w:rPr>
              <w:t>-10</w:t>
            </w:r>
            <w:r>
              <w:rPr>
                <w:rFonts w:ascii="Times New Roman" w:hAnsi="Times New Roman" w:eastAsia="宋体"/>
                <w:color w:val="000000" w:themeColor="text1"/>
                <w:sz w:val="24"/>
                <w:szCs w:val="24"/>
                <w:highlight w:val="none"/>
                <w14:textFill>
                  <w14:solidFill>
                    <w14:schemeClr w14:val="tx1"/>
                  </w14:solidFill>
                </w14:textFill>
              </w:rPr>
              <w:t>cm/s</w:t>
            </w:r>
            <w:r>
              <w:rPr>
                <w:rFonts w:hint="eastAsia" w:ascii="Times New Roman" w:hAnsi="Times New Roman" w:eastAsia="宋体"/>
                <w:color w:val="000000" w:themeColor="text1"/>
                <w:sz w:val="24"/>
                <w:szCs w:val="24"/>
                <w:highlight w:val="none"/>
                <w:lang w:eastAsia="zh-CN"/>
                <w14:textFill>
                  <w14:solidFill>
                    <w14:schemeClr w14:val="tx1"/>
                  </w14:solidFill>
                </w14:textFill>
              </w:rPr>
              <w:t>；隔油沉淀池</w:t>
            </w:r>
            <w:r>
              <w:rPr>
                <w:rFonts w:hint="default" w:ascii="Times New Roman" w:hAnsi="Times New Roman" w:eastAsia="宋体" w:cs="Times New Roman"/>
                <w:color w:val="000000" w:themeColor="text1"/>
                <w:sz w:val="24"/>
                <w:szCs w:val="24"/>
                <w:highlight w:val="none"/>
                <w14:textFill>
                  <w14:solidFill>
                    <w14:schemeClr w14:val="tx1"/>
                  </w14:solidFill>
                </w14:textFill>
              </w:rPr>
              <w:t>Mb≥6m，</w:t>
            </w:r>
            <w:r>
              <w:rPr>
                <w:rFonts w:ascii="Times New Roman" w:hAnsi="Times New Roman" w:eastAsia="宋体"/>
                <w:color w:val="000000" w:themeColor="text1"/>
                <w:sz w:val="24"/>
                <w:szCs w:val="24"/>
                <w:highlight w:val="none"/>
                <w14:textFill>
                  <w14:solidFill>
                    <w14:schemeClr w14:val="tx1"/>
                  </w14:solidFill>
                </w14:textFill>
              </w:rPr>
              <w:t>渗透系数≤10</w:t>
            </w:r>
            <w:r>
              <w:rPr>
                <w:rFonts w:ascii="Times New Roman" w:hAnsi="Times New Roman" w:eastAsia="宋体"/>
                <w:color w:val="000000" w:themeColor="text1"/>
                <w:sz w:val="24"/>
                <w:szCs w:val="24"/>
                <w:highlight w:val="none"/>
                <w:vertAlign w:val="superscript"/>
                <w14:textFill>
                  <w14:solidFill>
                    <w14:schemeClr w14:val="tx1"/>
                  </w14:solidFill>
                </w14:textFill>
              </w:rPr>
              <w:t>-</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7</w:t>
            </w:r>
            <w:r>
              <w:rPr>
                <w:rFonts w:ascii="Times New Roman" w:hAnsi="Times New Roman" w:eastAsia="宋体"/>
                <w:color w:val="000000" w:themeColor="text1"/>
                <w:sz w:val="24"/>
                <w:szCs w:val="24"/>
                <w:highlight w:val="none"/>
                <w14:textFill>
                  <w14:solidFill>
                    <w14:schemeClr w14:val="tx1"/>
                  </w14:solidFill>
                </w14:textFill>
              </w:rPr>
              <w:t>cm/s）；一般防渗</w:t>
            </w:r>
            <w:r>
              <w:rPr>
                <w:rFonts w:hint="eastAsia" w:ascii="Times New Roman" w:hAnsi="Times New Roman" w:eastAsia="宋体"/>
                <w:color w:val="000000" w:themeColor="text1"/>
                <w:sz w:val="24"/>
                <w:szCs w:val="24"/>
                <w:highlight w:val="none"/>
                <w:lang w:eastAsia="zh-CN"/>
                <w14:textFill>
                  <w14:solidFill>
                    <w14:schemeClr w14:val="tx1"/>
                  </w14:solidFill>
                </w14:textFill>
              </w:rPr>
              <w:t>区</w:t>
            </w:r>
            <w:r>
              <w:rPr>
                <w:rFonts w:ascii="Times New Roman" w:hAnsi="Times New Roman" w:eastAsia="宋体"/>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生产区地面（拌合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区、钢筋加工场、预制梁场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）、沉淀水池、</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、雨水收集池底部以及四周</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Mb≥</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14:textFill>
                  <w14:solidFill>
                    <w14:schemeClr w14:val="tx1"/>
                  </w14:solidFill>
                </w14:textFill>
              </w:rPr>
              <w:t>渗透系数≤10</w:t>
            </w:r>
            <w:r>
              <w:rPr>
                <w:rFonts w:ascii="Times New Roman" w:hAnsi="Times New Roman" w:eastAsia="宋体"/>
                <w:color w:val="000000" w:themeColor="text1"/>
                <w:sz w:val="24"/>
                <w:szCs w:val="24"/>
                <w:highlight w:val="none"/>
                <w:vertAlign w:val="superscript"/>
                <w14:textFill>
                  <w14:solidFill>
                    <w14:schemeClr w14:val="tx1"/>
                  </w14:solidFill>
                </w14:textFill>
              </w:rPr>
              <w:t>-</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7</w:t>
            </w:r>
            <w:r>
              <w:rPr>
                <w:rFonts w:ascii="Times New Roman" w:hAnsi="Times New Roman" w:eastAsia="宋体"/>
                <w:color w:val="000000" w:themeColor="text1"/>
                <w:sz w:val="24"/>
                <w:szCs w:val="24"/>
                <w:highlight w:val="none"/>
                <w14:textFill>
                  <w14:solidFill>
                    <w14:schemeClr w14:val="tx1"/>
                  </w14:solidFill>
                </w14:textFill>
              </w:rPr>
              <w:t>cm/s）；</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料仓地面、办公生活区域、厂内道路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等</w:t>
            </w:r>
            <w:r>
              <w:rPr>
                <w:rFonts w:ascii="Times New Roman" w:hAnsi="Times New Roman" w:eastAsia="宋体"/>
                <w:color w:val="000000" w:themeColor="text1"/>
                <w:sz w:val="24"/>
                <w:szCs w:val="24"/>
                <w:highlight w:val="none"/>
                <w14:textFill>
                  <w14:solidFill>
                    <w14:schemeClr w14:val="tx1"/>
                  </w14:solidFill>
                </w14:textFill>
              </w:rPr>
              <w:t>其他地面做简单防渗，进行一般地面硬化处理</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tc>
      </w:tr>
      <w:tr w14:paraId="267DC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0AD48271">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生态保护</w:t>
            </w:r>
          </w:p>
          <w:p w14:paraId="03F66BEF">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措施</w:t>
            </w:r>
          </w:p>
        </w:tc>
        <w:tc>
          <w:tcPr>
            <w:tcW w:w="4286" w:type="pct"/>
            <w:gridSpan w:val="6"/>
            <w:tcBorders>
              <w:tl2br w:val="nil"/>
              <w:tr2bl w:val="nil"/>
            </w:tcBorders>
            <w:vAlign w:val="center"/>
          </w:tcPr>
          <w:p w14:paraId="716E55A9">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由于本项目为临时工程，在服务期满后</w:t>
            </w:r>
            <w:r>
              <w:rPr>
                <w:rFonts w:hint="eastAsia" w:ascii="Times New Roman" w:hAnsi="Times New Roman" w:eastAsia="宋体"/>
                <w:color w:val="000000" w:themeColor="text1"/>
                <w:sz w:val="24"/>
                <w:szCs w:val="24"/>
                <w:highlight w:val="none"/>
                <w:lang w:eastAsia="zh-CN"/>
                <w14:textFill>
                  <w14:solidFill>
                    <w14:schemeClr w14:val="tx1"/>
                  </w14:solidFill>
                </w14:textFill>
              </w:rPr>
              <w:t>进行设备拆除退场</w:t>
            </w:r>
            <w:r>
              <w:rPr>
                <w:rFonts w:ascii="Times New Roman" w:hAnsi="Times New Roman" w:eastAsia="宋体"/>
                <w:color w:val="000000" w:themeColor="text1"/>
                <w:sz w:val="24"/>
                <w:szCs w:val="24"/>
                <w:highlight w:val="none"/>
                <w14:textFill>
                  <w14:solidFill>
                    <w14:schemeClr w14:val="tx1"/>
                  </w14:solidFill>
                </w14:textFill>
              </w:rPr>
              <w:t>。</w:t>
            </w:r>
          </w:p>
        </w:tc>
      </w:tr>
      <w:tr w14:paraId="0FC0E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2F0D928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环境风险</w:t>
            </w:r>
          </w:p>
          <w:p w14:paraId="1B09CFC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防范措施</w:t>
            </w:r>
          </w:p>
        </w:tc>
        <w:tc>
          <w:tcPr>
            <w:tcW w:w="4286" w:type="pct"/>
            <w:gridSpan w:val="6"/>
            <w:tcBorders>
              <w:tl2br w:val="nil"/>
              <w:tr2bl w:val="nil"/>
            </w:tcBorders>
            <w:vAlign w:val="center"/>
          </w:tcPr>
          <w:p w14:paraId="4D0262B6">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①除尘器以及喷淋设施的除尘效果与其工作状况有关，生产企业应建立定期巡查制度，时刻注意除尘器以及喷淋设施的工作效果，发现问题及时修理。</w:t>
            </w:r>
          </w:p>
          <w:p w14:paraId="06B07258">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②筒仓附近严禁明火，定期清理筒仓，防止粉尘沉积。</w:t>
            </w:r>
          </w:p>
          <w:p w14:paraId="560BD209">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③有粉尘爆炸风险的岗位进行粉尘防爆岗位前专业培训，操作人员必须经过专门培训，做到持证上岗，并且严格遵守操作规程。</w:t>
            </w:r>
          </w:p>
          <w:p w14:paraId="29982235">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④液态物料及液态危废等危险废物按要求分类存放并设置警示标识，采用专用容器收集且下设托盘，并设置空桶作为备用收容设施，配备一定吸污设备，确保物料有漏时能够收集到备用收容设施内。</w:t>
            </w:r>
          </w:p>
          <w:p w14:paraId="5C2F8C21">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⑤厂区禁止设置排污口，雨水排口设置截断阀门，发生事故时立即关闭雨水排口截断阀门，防止废水、泄露的危废等排入外环境污染地表水。</w:t>
            </w:r>
          </w:p>
          <w:p w14:paraId="155CFF8D">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⑥危废暂存间按照《危险废物贮存污染控制标准》(GB18597-2001)的管理规定进行管理，企业内部应建立危险废物产生、外运、处置及最终去向的详细台账，按照《危险废物转移联单管理办法》的要求做好危险废物转移联单填报登记工作，危废必须坚持交由资质单位处理，如资质单位在处理能力不能满足的情况下，企业应提前积极寻找其他资质单位并签订协议，企业不得擅自处理或排放。</w:t>
            </w:r>
          </w:p>
          <w:p w14:paraId="29F09D4D">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⑦厂区应严格按照要求进行分区防渗，防渗层若有破损应及时修复。</w:t>
            </w:r>
          </w:p>
          <w:p w14:paraId="6E724F2C">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⑧定期对各类存储设施进行外部检查，及时发现破损和漏处。对储罐等焊缝、垫片、铆钉或螺栓的泄漏采取必要预防措施。存储设施所有进出的管道均设安全控制阀。定期对各类存储设施及其管道系统的管理与维修，严格防止跑、冒、滴、漏现象发生。</w:t>
            </w:r>
          </w:p>
          <w:p w14:paraId="02DF37A9">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⑨定期巡查，加强对各项环保设施的维护保养，若环保设施发生故障，应及时停止生产，待检修完后再恢复生产。</w:t>
            </w:r>
          </w:p>
          <w:p w14:paraId="6D06692B">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⑩对职工要加强环保、安全生产教育，生产中积极采取防范措施。</w:t>
            </w:r>
          </w:p>
          <w:p w14:paraId="697DD00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jc w:val="left"/>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⑪其他防范措施：为能在事故发生后，迅速准确，有条不紊地处理事故，尽可能减少事故造成的损失，平时必须做好应急救援的准备工作落实岗位责任制和各项制度。</w:t>
            </w:r>
          </w:p>
        </w:tc>
      </w:tr>
      <w:tr w14:paraId="654A7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727FD48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14:textFill>
                  <w14:solidFill>
                    <w14:schemeClr w14:val="tx1"/>
                  </w14:solidFill>
                </w14:textFill>
              </w:rPr>
              <w:t>其他环境管理要求</w:t>
            </w:r>
          </w:p>
        </w:tc>
        <w:tc>
          <w:tcPr>
            <w:tcW w:w="4286" w:type="pct"/>
            <w:gridSpan w:val="6"/>
            <w:tcBorders>
              <w:tl2br w:val="nil"/>
              <w:tr2bl w:val="nil"/>
            </w:tcBorders>
            <w:vAlign w:val="center"/>
          </w:tcPr>
          <w:p w14:paraId="53AF6460">
            <w:pPr>
              <w:keepNext w:val="0"/>
              <w:keepLines w:val="0"/>
              <w:pageBreakBefore w:val="0"/>
              <w:widowControl w:val="0"/>
              <w:numPr>
                <w:ilvl w:val="0"/>
                <w:numId w:val="6"/>
              </w:numPr>
              <w:kinsoku/>
              <w:wordWrap/>
              <w:overflowPunct/>
              <w:topLinePunct w:val="0"/>
              <w:autoSpaceDE/>
              <w:autoSpaceDN/>
              <w:bidi w:val="0"/>
              <w:adjustRightInd w:val="0"/>
              <w:snapToGrid w:val="0"/>
              <w:spacing w:before="157" w:beforeLines="50" w:line="360" w:lineRule="auto"/>
              <w:ind w:left="0" w:leftChars="0"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应按有关法规的要求，严格执行排污许可制度。</w:t>
            </w:r>
          </w:p>
          <w:p w14:paraId="4F29FAEC">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left="0" w:leftChars="0"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项目的性质、规模、地点、采用的生产工艺或者防治污染、防止生态破坏的措施发生重大变动的应当重新报批环境影响报告表。</w:t>
            </w:r>
          </w:p>
          <w:p w14:paraId="2CA38007">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加强污染物处理设施维护和管理工作，确保环保设施连续稳定运行，确保污染物达标排放</w:t>
            </w:r>
            <w:r>
              <w:rPr>
                <w:rFonts w:ascii="Times New Roman" w:hAnsi="Times New Roman" w:eastAsia="宋体"/>
                <w:color w:val="000000" w:themeColor="text1"/>
                <w:sz w:val="24"/>
                <w:szCs w:val="24"/>
                <w:highlight w:val="none"/>
                <w14:textFill>
                  <w14:solidFill>
                    <w14:schemeClr w14:val="tx1"/>
                  </w14:solidFill>
                </w14:textFill>
              </w:rPr>
              <w:t>。</w:t>
            </w:r>
          </w:p>
          <w:p w14:paraId="63D7398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4、环境监测计划</w:t>
            </w:r>
          </w:p>
          <w:p w14:paraId="5A2FFBCC">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环境监测的目的是为监测项目施工及营运中各项环保措施的落实情况，并根据监测结果及时调整环保计划，有关监测计划见下表：</w:t>
            </w:r>
          </w:p>
          <w:p w14:paraId="28154741">
            <w:pPr>
              <w:numPr>
                <w:ilvl w:val="0"/>
                <w:numId w:val="0"/>
              </w:numPr>
              <w:adjustRightInd w:val="0"/>
              <w:snapToGrid w:val="0"/>
              <w:ind w:firstLine="422" w:firstLineChars="20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表5-1</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环境监测计划一览表</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64"/>
              <w:gridCol w:w="2001"/>
              <w:gridCol w:w="2796"/>
              <w:gridCol w:w="1353"/>
            </w:tblGrid>
            <w:tr w14:paraId="19BA75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01" w:type="dxa"/>
                  <w:tcBorders>
                    <w:tl2br w:val="nil"/>
                    <w:tr2bl w:val="nil"/>
                  </w:tcBorders>
                  <w:noWrap w:val="0"/>
                  <w:vAlign w:val="center"/>
                </w:tcPr>
                <w:p w14:paraId="0565D869">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监测项目</w:t>
                  </w:r>
                </w:p>
              </w:tc>
              <w:tc>
                <w:tcPr>
                  <w:tcW w:w="1763" w:type="dxa"/>
                  <w:tcBorders>
                    <w:tl2br w:val="nil"/>
                    <w:tr2bl w:val="nil"/>
                  </w:tcBorders>
                  <w:noWrap w:val="0"/>
                  <w:vAlign w:val="center"/>
                </w:tcPr>
                <w:p w14:paraId="1A49A8EE">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监测因子</w:t>
                  </w:r>
                </w:p>
              </w:tc>
              <w:tc>
                <w:tcPr>
                  <w:tcW w:w="2462" w:type="dxa"/>
                  <w:tcBorders>
                    <w:tl2br w:val="nil"/>
                    <w:tr2bl w:val="nil"/>
                  </w:tcBorders>
                  <w:noWrap w:val="0"/>
                  <w:vAlign w:val="center"/>
                </w:tcPr>
                <w:p w14:paraId="3B20FC04">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监测点位</w:t>
                  </w:r>
                </w:p>
              </w:tc>
              <w:tc>
                <w:tcPr>
                  <w:tcW w:w="1192" w:type="dxa"/>
                  <w:tcBorders>
                    <w:tl2br w:val="nil"/>
                    <w:tr2bl w:val="nil"/>
                  </w:tcBorders>
                  <w:noWrap w:val="0"/>
                  <w:vAlign w:val="center"/>
                </w:tcPr>
                <w:p w14:paraId="1B2DCCCE">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监测频次</w:t>
                  </w:r>
                </w:p>
              </w:tc>
            </w:tr>
            <w:tr w14:paraId="366EE7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01" w:type="dxa"/>
                  <w:tcBorders>
                    <w:tl2br w:val="nil"/>
                    <w:tr2bl w:val="nil"/>
                  </w:tcBorders>
                  <w:noWrap w:val="0"/>
                  <w:vAlign w:val="center"/>
                </w:tcPr>
                <w:p w14:paraId="74C6606E">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废气</w:t>
                  </w:r>
                </w:p>
              </w:tc>
              <w:tc>
                <w:tcPr>
                  <w:tcW w:w="1763" w:type="dxa"/>
                  <w:tcBorders>
                    <w:tl2br w:val="nil"/>
                    <w:tr2bl w:val="nil"/>
                  </w:tcBorders>
                  <w:noWrap w:val="0"/>
                  <w:vAlign w:val="center"/>
                </w:tcPr>
                <w:p w14:paraId="5C0C3120">
                  <w:pPr>
                    <w:numPr>
                      <w:ilvl w:val="0"/>
                      <w:numId w:val="0"/>
                    </w:numPr>
                    <w:adjustRightInd w:val="0"/>
                    <w:snapToGrid w:val="0"/>
                    <w:ind w:left="0" w:leftChars="0" w:firstLine="0" w:firstLine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颗粒物（无组织）</w:t>
                  </w:r>
                </w:p>
              </w:tc>
              <w:tc>
                <w:tcPr>
                  <w:tcW w:w="2462" w:type="dxa"/>
                  <w:tcBorders>
                    <w:tl2br w:val="nil"/>
                    <w:tr2bl w:val="nil"/>
                  </w:tcBorders>
                  <w:noWrap w:val="0"/>
                  <w:vAlign w:val="center"/>
                </w:tcPr>
                <w:p w14:paraId="63D75AB2">
                  <w:pPr>
                    <w:numPr>
                      <w:ilvl w:val="0"/>
                      <w:numId w:val="0"/>
                    </w:numPr>
                    <w:adjustRightInd w:val="0"/>
                    <w:snapToGrid w:val="0"/>
                    <w:ind w:left="0" w:leftChars="0" w:firstLine="0" w:firstLine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厂界</w:t>
                  </w:r>
                </w:p>
              </w:tc>
              <w:tc>
                <w:tcPr>
                  <w:tcW w:w="1192" w:type="dxa"/>
                  <w:tcBorders>
                    <w:tl2br w:val="nil"/>
                    <w:tr2bl w:val="nil"/>
                  </w:tcBorders>
                  <w:noWrap w:val="0"/>
                  <w:vAlign w:val="center"/>
                </w:tcPr>
                <w:p w14:paraId="47B44FBE">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1次/半年</w:t>
                  </w:r>
                </w:p>
              </w:tc>
            </w:tr>
            <w:tr w14:paraId="7CABCC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01" w:type="dxa"/>
                  <w:tcBorders>
                    <w:tl2br w:val="nil"/>
                    <w:tr2bl w:val="nil"/>
                  </w:tcBorders>
                  <w:noWrap w:val="0"/>
                  <w:vAlign w:val="center"/>
                </w:tcPr>
                <w:p w14:paraId="5DAC9C83">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噪声</w:t>
                  </w:r>
                </w:p>
              </w:tc>
              <w:tc>
                <w:tcPr>
                  <w:tcW w:w="1763" w:type="dxa"/>
                  <w:tcBorders>
                    <w:tl2br w:val="nil"/>
                    <w:tr2bl w:val="nil"/>
                  </w:tcBorders>
                  <w:noWrap w:val="0"/>
                  <w:vAlign w:val="center"/>
                </w:tcPr>
                <w:p w14:paraId="36066E40">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噪声dB（A）</w:t>
                  </w:r>
                </w:p>
              </w:tc>
              <w:tc>
                <w:tcPr>
                  <w:tcW w:w="2462" w:type="dxa"/>
                  <w:tcBorders>
                    <w:tl2br w:val="nil"/>
                    <w:tr2bl w:val="nil"/>
                  </w:tcBorders>
                  <w:noWrap w:val="0"/>
                  <w:vAlign w:val="center"/>
                </w:tcPr>
                <w:p w14:paraId="248AFE51">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厂界四周</w:t>
                  </w:r>
                </w:p>
              </w:tc>
              <w:tc>
                <w:tcPr>
                  <w:tcW w:w="1192" w:type="dxa"/>
                  <w:tcBorders>
                    <w:tl2br w:val="nil"/>
                    <w:tr2bl w:val="nil"/>
                  </w:tcBorders>
                  <w:noWrap w:val="0"/>
                  <w:vAlign w:val="center"/>
                </w:tcPr>
                <w:p w14:paraId="5A98C778">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每季度1次</w:t>
                  </w:r>
                </w:p>
              </w:tc>
            </w:tr>
          </w:tbl>
          <w:p w14:paraId="0854A03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98B818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813398F">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093FF1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ECF402F">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BC0C05B">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EC7B58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6008A3F">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A3A2A4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0F7784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4E3A71F">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E02474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D8DC38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156BAB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C9A2F3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A250C3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D2AC50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F652A5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12F023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0BFA87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AB58B9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AA3429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9C5362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209ED0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EDD730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0B08AB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1307E6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tc>
      </w:tr>
    </w:tbl>
    <w:p w14:paraId="7A3E96DC">
      <w:pPr>
        <w:pStyle w:val="29"/>
        <w:rPr>
          <w:color w:val="000000" w:themeColor="text1"/>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4CAD5BE0">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18" w:name="_Toc80643347"/>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六</w:t>
      </w:r>
      <w:r>
        <w:rPr>
          <w:rFonts w:ascii="Times New Roman" w:hAnsi="Times New Roman" w:eastAsia="宋体"/>
          <w:b/>
          <w:bCs/>
          <w:snapToGrid w:val="0"/>
          <w:color w:val="000000" w:themeColor="text1"/>
          <w:kern w:val="0"/>
          <w:sz w:val="36"/>
          <w:szCs w:val="32"/>
          <w:highlight w:val="none"/>
          <w14:textFill>
            <w14:solidFill>
              <w14:schemeClr w14:val="tx1"/>
            </w14:solidFill>
          </w14:textFill>
        </w:rPr>
        <w:t>、结论</w:t>
      </w:r>
      <w:bookmarkEnd w:id="18"/>
    </w:p>
    <w:tbl>
      <w:tblPr>
        <w:tblStyle w:val="2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1FDC98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349" w:hRule="atLeast"/>
          <w:jc w:val="center"/>
        </w:trPr>
        <w:tc>
          <w:tcPr>
            <w:tcW w:w="5000" w:type="pct"/>
          </w:tcPr>
          <w:p w14:paraId="583E4C6D">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r>
              <w:rPr>
                <w:rFonts w:hint="eastAsia" w:ascii="Times New Roman" w:hAnsi="Times New Roman" w:eastAsia="宋体"/>
                <w:color w:val="000000" w:themeColor="text1"/>
                <w:sz w:val="24"/>
                <w:szCs w:val="24"/>
                <w:highlight w:val="none"/>
                <w14:textFill>
                  <w14:solidFill>
                    <w14:schemeClr w14:val="tx1"/>
                  </w14:solidFill>
                </w14:textFill>
              </w:rPr>
              <w:t>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四川省遂宁市蓬溪县大石镇偏马村一社</w:t>
            </w:r>
            <w:r>
              <w:rPr>
                <w:rFonts w:hint="eastAsia" w:ascii="Times New Roman" w:hAnsi="Times New Roman" w:eastAsia="宋体"/>
                <w:color w:val="000000" w:themeColor="text1"/>
                <w:sz w:val="24"/>
                <w:szCs w:val="24"/>
                <w:highlight w:val="none"/>
                <w14:textFill>
                  <w14:solidFill>
                    <w14:schemeClr w14:val="tx1"/>
                  </w14:solidFill>
                </w14:textFill>
              </w:rPr>
              <w:t>投资9</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14:textFill>
                  <w14:solidFill>
                    <w14:schemeClr w14:val="tx1"/>
                  </w14:solidFill>
                </w14:textFill>
              </w:rPr>
              <w:t>0万元建设的“</w:t>
            </w:r>
            <w:r>
              <w:rPr>
                <w:rFonts w:hint="eastAsia" w:ascii="Times New Roman" w:hAnsi="Times New Roman" w:eastAsia="宋体"/>
                <w:color w:val="000000" w:themeColor="text1"/>
                <w:sz w:val="24"/>
                <w:szCs w:val="24"/>
                <w:highlight w:val="none"/>
                <w:lang w:eastAsia="zh-CN"/>
                <w14:textFill>
                  <w14:solidFill>
                    <w14:schemeClr w14:val="tx1"/>
                  </w14:solidFill>
                </w14:textFill>
              </w:rPr>
              <w:t>南充至成都高速公路扩容工程LJ5标段4#站</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符合</w:t>
            </w:r>
            <w:r>
              <w:rPr>
                <w:rFonts w:hint="eastAsia" w:ascii="Times New Roman" w:hAnsi="Times New Roman" w:eastAsia="宋体"/>
                <w:color w:val="000000" w:themeColor="text1"/>
                <w:sz w:val="24"/>
                <w:szCs w:val="24"/>
                <w:highlight w:val="none"/>
                <w14:textFill>
                  <w14:solidFill>
                    <w14:schemeClr w14:val="tx1"/>
                  </w14:solidFill>
                </w14:textFill>
              </w:rPr>
              <w:t>国家和地方现行的产业政策</w:t>
            </w:r>
            <w:r>
              <w:rPr>
                <w:rFonts w:ascii="Times New Roman" w:hAnsi="Times New Roman" w:eastAsia="宋体"/>
                <w:color w:val="000000" w:themeColor="text1"/>
                <w:sz w:val="24"/>
                <w:szCs w:val="24"/>
                <w:highlight w:val="none"/>
                <w14:textFill>
                  <w14:solidFill>
                    <w14:schemeClr w14:val="tx1"/>
                  </w14:solidFill>
                </w14:textFill>
              </w:rPr>
              <w:t>，符合当地规划及</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三线一单</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要求，选址</w:t>
            </w:r>
            <w:r>
              <w:rPr>
                <w:rFonts w:hint="eastAsia" w:ascii="Times New Roman" w:hAnsi="Times New Roman" w:eastAsia="宋体"/>
                <w:color w:val="000000" w:themeColor="text1"/>
                <w:sz w:val="24"/>
                <w:szCs w:val="24"/>
                <w:highlight w:val="none"/>
                <w14:textFill>
                  <w14:solidFill>
                    <w14:schemeClr w14:val="tx1"/>
                  </w14:solidFill>
                </w14:textFill>
              </w:rPr>
              <w:t>及</w:t>
            </w:r>
            <w:r>
              <w:rPr>
                <w:rFonts w:ascii="Times New Roman" w:hAnsi="Times New Roman" w:eastAsia="宋体"/>
                <w:color w:val="000000" w:themeColor="text1"/>
                <w:sz w:val="24"/>
                <w:szCs w:val="24"/>
                <w:highlight w:val="none"/>
                <w14:textFill>
                  <w14:solidFill>
                    <w14:schemeClr w14:val="tx1"/>
                  </w14:solidFill>
                </w14:textFill>
              </w:rPr>
              <w:t>平面布置合理。项目污染防治措施有效、可行，各污染物均能实现达标排放或合理处置，对周围环境的污染影响较小。因此，在保证污染防治措施有效实施的基础上，并采纳上述建议后，从环境保护的角度分析，本评价认为该项目的建设可行。</w:t>
            </w:r>
          </w:p>
          <w:p w14:paraId="445B787A">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1E2C54BE">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04CEB41E">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2B00F0A6">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40916781">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706A5B05">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1DA2B79D">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775BA8F9">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1580135A">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E1B5BBE">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29A3B31">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D04B1FD">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73EE866">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4CE2585">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64DB6F6">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DAEF14F">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95F64D9">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D25E771">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0730802">
            <w:pPr>
              <w:adjustRightInd w:val="0"/>
              <w:snapToGrid w:val="0"/>
              <w:spacing w:before="312" w:beforeLines="100"/>
              <w:rPr>
                <w:rFonts w:hint="eastAsia" w:ascii="Times New Roman" w:hAnsi="Times New Roman" w:eastAsia="宋体"/>
                <w:color w:val="000000" w:themeColor="text1"/>
                <w:szCs w:val="21"/>
                <w:highlight w:val="none"/>
                <w:lang w:eastAsia="zh-CN"/>
                <w14:textFill>
                  <w14:solidFill>
                    <w14:schemeClr w14:val="tx1"/>
                  </w14:solidFill>
                </w14:textFill>
              </w:rPr>
            </w:pPr>
          </w:p>
        </w:tc>
      </w:tr>
    </w:tbl>
    <w:p w14:paraId="6AAB253B">
      <w:pPr>
        <w:pStyle w:val="31"/>
        <w:ind w:firstLine="562"/>
        <w:rPr>
          <w:color w:val="000000" w:themeColor="text1"/>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3030133D">
      <w:pPr>
        <w:pStyle w:val="17"/>
        <w:widowControl/>
        <w:adjustRightInd w:val="0"/>
        <w:snapToGrid w:val="0"/>
        <w:outlineLvl w:val="0"/>
        <w:rPr>
          <w:rFonts w:ascii="Times New Roman" w:hAnsi="Times New Roman" w:eastAsia="宋体"/>
          <w:b/>
          <w:bCs/>
          <w:snapToGrid w:val="0"/>
          <w:color w:val="000000" w:themeColor="text1"/>
          <w:sz w:val="32"/>
          <w:szCs w:val="32"/>
          <w:highlight w:val="none"/>
          <w14:textFill>
            <w14:solidFill>
              <w14:schemeClr w14:val="tx1"/>
            </w14:solidFill>
          </w14:textFill>
        </w:rPr>
      </w:pPr>
      <w:bookmarkStart w:id="19" w:name="_Toc6031"/>
      <w:bookmarkStart w:id="20" w:name="_Toc19732"/>
      <w:r>
        <w:rPr>
          <w:rFonts w:ascii="Times New Roman" w:hAnsi="Times New Roman" w:eastAsia="宋体"/>
          <w:b/>
          <w:bCs/>
          <w:snapToGrid w:val="0"/>
          <w:color w:val="000000" w:themeColor="text1"/>
          <w:sz w:val="32"/>
          <w:szCs w:val="32"/>
          <w:highlight w:val="none"/>
          <w14:textFill>
            <w14:solidFill>
              <w14:schemeClr w14:val="tx1"/>
            </w14:solidFill>
          </w14:textFill>
        </w:rPr>
        <w:t>附表</w:t>
      </w:r>
      <w:bookmarkEnd w:id="19"/>
      <w:bookmarkEnd w:id="20"/>
    </w:p>
    <w:p w14:paraId="4DCAA55A">
      <w:pPr>
        <w:pStyle w:val="17"/>
        <w:widowControl/>
        <w:adjustRightInd w:val="0"/>
        <w:snapToGrid w:val="0"/>
        <w:jc w:val="center"/>
        <w:outlineLvl w:val="0"/>
        <w:rPr>
          <w:rFonts w:ascii="Times New Roman" w:hAnsi="Times New Roman" w:eastAsia="宋体"/>
          <w:b/>
          <w:bCs/>
          <w:snapToGrid w:val="0"/>
          <w:color w:val="000000" w:themeColor="text1"/>
          <w:sz w:val="38"/>
          <w:szCs w:val="38"/>
          <w:highlight w:val="none"/>
          <w14:textFill>
            <w14:solidFill>
              <w14:schemeClr w14:val="tx1"/>
            </w14:solidFill>
          </w14:textFill>
        </w:rPr>
      </w:pPr>
      <w:bookmarkStart w:id="21" w:name="_Toc37"/>
      <w:bookmarkStart w:id="22" w:name="_Toc8009"/>
      <w:r>
        <w:rPr>
          <w:rFonts w:ascii="Times New Roman" w:hAnsi="Times New Roman" w:eastAsia="宋体"/>
          <w:b/>
          <w:bCs/>
          <w:snapToGrid w:val="0"/>
          <w:color w:val="000000" w:themeColor="text1"/>
          <w:sz w:val="38"/>
          <w:szCs w:val="38"/>
          <w:highlight w:val="none"/>
          <w14:textFill>
            <w14:solidFill>
              <w14:schemeClr w14:val="tx1"/>
            </w14:solidFill>
          </w14:textFill>
        </w:rPr>
        <w:t>建设项目污染物排放量汇总表</w:t>
      </w:r>
      <w:bookmarkEnd w:id="21"/>
      <w:bookmarkEnd w:id="22"/>
    </w:p>
    <w:tbl>
      <w:tblPr>
        <w:tblStyle w:val="20"/>
        <w:tblW w:w="1378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106"/>
        <w:gridCol w:w="2025"/>
        <w:gridCol w:w="1575"/>
        <w:gridCol w:w="1276"/>
        <w:gridCol w:w="1701"/>
        <w:gridCol w:w="1559"/>
        <w:gridCol w:w="1761"/>
        <w:gridCol w:w="1568"/>
        <w:gridCol w:w="1217"/>
      </w:tblGrid>
      <w:tr w14:paraId="378BBA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tcBorders>
              <w:tl2br w:val="single" w:color="auto" w:sz="4" w:space="0"/>
            </w:tcBorders>
            <w:tcMar>
              <w:left w:w="28" w:type="dxa"/>
              <w:right w:w="28" w:type="dxa"/>
            </w:tcMar>
            <w:vAlign w:val="center"/>
          </w:tcPr>
          <w:p w14:paraId="00D05BFE">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jc w:val="right"/>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项目</w:t>
            </w:r>
          </w:p>
          <w:p w14:paraId="75582121">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jc w:val="left"/>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分类</w:t>
            </w:r>
          </w:p>
        </w:tc>
        <w:tc>
          <w:tcPr>
            <w:tcW w:w="2025" w:type="dxa"/>
            <w:tcMar>
              <w:left w:w="28" w:type="dxa"/>
              <w:right w:w="28" w:type="dxa"/>
            </w:tcMar>
            <w:vAlign w:val="center"/>
          </w:tcPr>
          <w:p w14:paraId="42134220">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污染物名称</w:t>
            </w:r>
          </w:p>
        </w:tc>
        <w:tc>
          <w:tcPr>
            <w:tcW w:w="1575" w:type="dxa"/>
            <w:tcMar>
              <w:left w:w="28" w:type="dxa"/>
              <w:right w:w="28" w:type="dxa"/>
            </w:tcMar>
            <w:vAlign w:val="center"/>
          </w:tcPr>
          <w:p w14:paraId="14B17EC4">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现有工程</w:t>
            </w:r>
          </w:p>
          <w:p w14:paraId="58D7391B">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排放量（固体废物产生量）</w:t>
            </w: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①</w:t>
            </w:r>
          </w:p>
        </w:tc>
        <w:tc>
          <w:tcPr>
            <w:tcW w:w="1276" w:type="dxa"/>
            <w:tcMar>
              <w:left w:w="28" w:type="dxa"/>
              <w:right w:w="28" w:type="dxa"/>
            </w:tcMar>
            <w:vAlign w:val="center"/>
          </w:tcPr>
          <w:p w14:paraId="00BAD895">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现有工程</w:t>
            </w:r>
          </w:p>
          <w:p w14:paraId="08224773">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许可排放量</w:t>
            </w:r>
          </w:p>
          <w:p w14:paraId="0EFD7468">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②</w:t>
            </w:r>
          </w:p>
        </w:tc>
        <w:tc>
          <w:tcPr>
            <w:tcW w:w="1701" w:type="dxa"/>
            <w:tcMar>
              <w:left w:w="28" w:type="dxa"/>
              <w:right w:w="28" w:type="dxa"/>
            </w:tcMar>
            <w:vAlign w:val="center"/>
          </w:tcPr>
          <w:p w14:paraId="7B8D9730">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在建工程</w:t>
            </w:r>
          </w:p>
          <w:p w14:paraId="0AE87ED0">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排放量（固体废物产生量）</w:t>
            </w: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③</w:t>
            </w:r>
          </w:p>
        </w:tc>
        <w:tc>
          <w:tcPr>
            <w:tcW w:w="1559" w:type="dxa"/>
            <w:tcMar>
              <w:left w:w="28" w:type="dxa"/>
              <w:right w:w="28" w:type="dxa"/>
            </w:tcMar>
            <w:vAlign w:val="center"/>
          </w:tcPr>
          <w:p w14:paraId="33C7C94F">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本项目</w:t>
            </w:r>
          </w:p>
          <w:p w14:paraId="60380624">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排放量（固体废物产生量）</w:t>
            </w: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④</w:t>
            </w:r>
          </w:p>
        </w:tc>
        <w:tc>
          <w:tcPr>
            <w:tcW w:w="1761" w:type="dxa"/>
            <w:tcMar>
              <w:left w:w="28" w:type="dxa"/>
              <w:right w:w="28" w:type="dxa"/>
            </w:tcMar>
            <w:vAlign w:val="center"/>
          </w:tcPr>
          <w:p w14:paraId="37AFA1D4">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1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以新带老削减量</w:t>
            </w:r>
          </w:p>
          <w:p w14:paraId="3A1858A3">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（新建项目不填）</w:t>
            </w:r>
            <w:r>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t>⑤</w:t>
            </w:r>
          </w:p>
        </w:tc>
        <w:tc>
          <w:tcPr>
            <w:tcW w:w="1568" w:type="dxa"/>
            <w:tcMar>
              <w:left w:w="28" w:type="dxa"/>
              <w:right w:w="28" w:type="dxa"/>
            </w:tcMar>
            <w:vAlign w:val="center"/>
          </w:tcPr>
          <w:p w14:paraId="713001DE">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1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本项目建成后</w:t>
            </w:r>
          </w:p>
          <w:p w14:paraId="5DCC778E">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全厂排放量（固体废物产生量）</w:t>
            </w:r>
            <w:r>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t>⑥</w:t>
            </w:r>
          </w:p>
        </w:tc>
        <w:tc>
          <w:tcPr>
            <w:tcW w:w="1217" w:type="dxa"/>
            <w:tcMar>
              <w:left w:w="28" w:type="dxa"/>
              <w:right w:w="28" w:type="dxa"/>
            </w:tcMar>
            <w:vAlign w:val="center"/>
          </w:tcPr>
          <w:p w14:paraId="5FC8BF7D">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变化量</w:t>
            </w:r>
          </w:p>
          <w:p w14:paraId="4A81E04F">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⑦</w:t>
            </w:r>
          </w:p>
        </w:tc>
      </w:tr>
      <w:tr w14:paraId="4B3482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Align w:val="center"/>
          </w:tcPr>
          <w:p w14:paraId="47ECA7B0">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废气</w:t>
            </w:r>
          </w:p>
        </w:tc>
        <w:tc>
          <w:tcPr>
            <w:tcW w:w="2025" w:type="dxa"/>
            <w:vAlign w:val="center"/>
          </w:tcPr>
          <w:p w14:paraId="2B60C7C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TSP</w:t>
            </w:r>
          </w:p>
        </w:tc>
        <w:tc>
          <w:tcPr>
            <w:tcW w:w="1575" w:type="dxa"/>
            <w:vAlign w:val="center"/>
          </w:tcPr>
          <w:p w14:paraId="2578944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2EB8DFE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75F7258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2FE184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1.5739</w:t>
            </w:r>
            <w:r>
              <w:rPr>
                <w:rFonts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13092A8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60EAD51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574E501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1E8219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restart"/>
            <w:vAlign w:val="center"/>
          </w:tcPr>
          <w:p w14:paraId="0AA7425E">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废水</w:t>
            </w:r>
          </w:p>
        </w:tc>
        <w:tc>
          <w:tcPr>
            <w:tcW w:w="2025" w:type="dxa"/>
            <w:vAlign w:val="center"/>
          </w:tcPr>
          <w:p w14:paraId="2A27BB2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COD</w:t>
            </w:r>
          </w:p>
        </w:tc>
        <w:tc>
          <w:tcPr>
            <w:tcW w:w="1575" w:type="dxa"/>
            <w:vAlign w:val="center"/>
          </w:tcPr>
          <w:p w14:paraId="601D46A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0584513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0A2101D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7C6FDB5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1.0395</w:t>
            </w:r>
            <w:r>
              <w:rPr>
                <w:rFonts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23E79C4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3398F22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390E4B6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43DB7B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0872714E">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0D009AA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氨氮</w:t>
            </w:r>
          </w:p>
        </w:tc>
        <w:tc>
          <w:tcPr>
            <w:tcW w:w="1575" w:type="dxa"/>
            <w:vAlign w:val="center"/>
          </w:tcPr>
          <w:p w14:paraId="419E2F60">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05FEAA0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77CF23D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001C72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0.0851</w:t>
            </w:r>
            <w:r>
              <w:rPr>
                <w:rFonts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7172C31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3021839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63BD19D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422666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restart"/>
            <w:vAlign w:val="center"/>
          </w:tcPr>
          <w:p w14:paraId="13B9329D">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一般工业</w:t>
            </w:r>
          </w:p>
          <w:p w14:paraId="751E9255">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固体废物</w:t>
            </w:r>
          </w:p>
        </w:tc>
        <w:tc>
          <w:tcPr>
            <w:tcW w:w="2025" w:type="dxa"/>
            <w:vAlign w:val="center"/>
          </w:tcPr>
          <w:p w14:paraId="50FBA4B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收尘系统收集的粉尘</w:t>
            </w:r>
          </w:p>
        </w:tc>
        <w:tc>
          <w:tcPr>
            <w:tcW w:w="1575" w:type="dxa"/>
            <w:vAlign w:val="center"/>
          </w:tcPr>
          <w:p w14:paraId="199AABC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01FFC27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2EF0BB5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6B255B70">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15.39</w:t>
            </w:r>
            <w:r>
              <w:rPr>
                <w:rFonts w:hint="eastAsia"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0B51EF0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6048C0FD">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06344DBB">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2D7A78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1D6E9D52">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3527640D">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沉淀池污泥</w:t>
            </w: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（泥渣）</w:t>
            </w:r>
          </w:p>
        </w:tc>
        <w:tc>
          <w:tcPr>
            <w:tcW w:w="1575" w:type="dxa"/>
            <w:vAlign w:val="center"/>
          </w:tcPr>
          <w:p w14:paraId="2516223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0DD69AC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5F967D3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157E2FC6">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7.25</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0DCBC9F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0B438505">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4C880A6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039808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223134BE">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22155F28">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钢筋边角废料</w:t>
            </w:r>
          </w:p>
        </w:tc>
        <w:tc>
          <w:tcPr>
            <w:tcW w:w="1575" w:type="dxa"/>
            <w:vAlign w:val="center"/>
          </w:tcPr>
          <w:p w14:paraId="3969AFB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143E0C4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6B40A29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6560ED8D">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20t/a</w:t>
            </w:r>
          </w:p>
        </w:tc>
        <w:tc>
          <w:tcPr>
            <w:tcW w:w="1761" w:type="dxa"/>
            <w:vAlign w:val="center"/>
          </w:tcPr>
          <w:p w14:paraId="5804497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7035BF4E">
            <w:pPr>
              <w:pStyle w:val="14"/>
              <w:pBdr>
                <w:bottom w:val="none" w:color="auto" w:sz="0" w:space="0"/>
              </w:pBdr>
              <w:tabs>
                <w:tab w:val="left" w:pos="435"/>
              </w:tabs>
              <w:spacing w:line="360" w:lineRule="atLeast"/>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p>
        </w:tc>
        <w:tc>
          <w:tcPr>
            <w:tcW w:w="1217" w:type="dxa"/>
            <w:vAlign w:val="center"/>
          </w:tcPr>
          <w:p w14:paraId="13ED03C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457735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3489DC3B">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2F8DD2BF">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硬化混凝土块</w:t>
            </w:r>
          </w:p>
        </w:tc>
        <w:tc>
          <w:tcPr>
            <w:tcW w:w="1575" w:type="dxa"/>
            <w:vAlign w:val="center"/>
          </w:tcPr>
          <w:p w14:paraId="608F268B">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6433DC5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6D829F1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547D9EED">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1.4t/a</w:t>
            </w:r>
          </w:p>
        </w:tc>
        <w:tc>
          <w:tcPr>
            <w:tcW w:w="1761" w:type="dxa"/>
            <w:vAlign w:val="center"/>
          </w:tcPr>
          <w:p w14:paraId="3953B0A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789C28FD">
            <w:pPr>
              <w:pStyle w:val="14"/>
              <w:pBdr>
                <w:bottom w:val="none" w:color="auto" w:sz="0" w:space="0"/>
              </w:pBdr>
              <w:tabs>
                <w:tab w:val="left" w:pos="435"/>
              </w:tabs>
              <w:spacing w:line="360" w:lineRule="atLeast"/>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p>
        </w:tc>
        <w:tc>
          <w:tcPr>
            <w:tcW w:w="1217" w:type="dxa"/>
            <w:vAlign w:val="center"/>
          </w:tcPr>
          <w:p w14:paraId="06EE7A1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6196ED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322F14EB">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79E6FCE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生活垃圾</w:t>
            </w:r>
          </w:p>
        </w:tc>
        <w:tc>
          <w:tcPr>
            <w:tcW w:w="1575" w:type="dxa"/>
            <w:vAlign w:val="center"/>
          </w:tcPr>
          <w:p w14:paraId="3D8B66F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2C952D2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67093A5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107F6CB8">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13.125</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2443F7F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0FF31AC6">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17CE1B0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687DF7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7F61CC3D">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41203224">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餐厨垃圾</w:t>
            </w:r>
          </w:p>
        </w:tc>
        <w:tc>
          <w:tcPr>
            <w:tcW w:w="1575" w:type="dxa"/>
            <w:vAlign w:val="center"/>
          </w:tcPr>
          <w:p w14:paraId="5C97F27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225369C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7BFCE77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05B47192">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5.25</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75E3DF1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06773480">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11F09DD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710AFB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62F01304">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06D8D609">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油水分离器废油脂</w:t>
            </w:r>
          </w:p>
        </w:tc>
        <w:tc>
          <w:tcPr>
            <w:tcW w:w="1575" w:type="dxa"/>
            <w:vAlign w:val="center"/>
          </w:tcPr>
          <w:p w14:paraId="7CD43497">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73C8EEA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5BEEA3F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1A39C6EF">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0.105</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7E22EA9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6E6E5781">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668DA497">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6F73E6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restart"/>
            <w:vAlign w:val="center"/>
          </w:tcPr>
          <w:p w14:paraId="2FA6809D">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危险废物</w:t>
            </w:r>
          </w:p>
        </w:tc>
        <w:tc>
          <w:tcPr>
            <w:tcW w:w="2025" w:type="dxa"/>
            <w:vAlign w:val="center"/>
          </w:tcPr>
          <w:p w14:paraId="367C226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隔油沉淀池废油</w:t>
            </w:r>
          </w:p>
        </w:tc>
        <w:tc>
          <w:tcPr>
            <w:tcW w:w="1575" w:type="dxa"/>
            <w:vAlign w:val="center"/>
          </w:tcPr>
          <w:p w14:paraId="1E9E0AF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44C5CC4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31C6C727">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5793CE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0.</w:t>
            </w: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13</w:t>
            </w:r>
            <w:r>
              <w:rPr>
                <w:rFonts w:hint="eastAsia"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38584E8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6493A56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08AB0F2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356DA1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2DF5A59B">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05D2AEEB">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废矿物油</w:t>
            </w: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及废油桶</w:t>
            </w:r>
          </w:p>
        </w:tc>
        <w:tc>
          <w:tcPr>
            <w:tcW w:w="1575" w:type="dxa"/>
            <w:vAlign w:val="center"/>
          </w:tcPr>
          <w:p w14:paraId="1DC76DA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3B96428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6DB051F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2AB333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0.5t/a</w:t>
            </w:r>
          </w:p>
        </w:tc>
        <w:tc>
          <w:tcPr>
            <w:tcW w:w="1761" w:type="dxa"/>
            <w:vAlign w:val="center"/>
          </w:tcPr>
          <w:p w14:paraId="1D4E445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6183EB6D">
            <w:pPr>
              <w:spacing w:line="360" w:lineRule="atLeast"/>
              <w:jc w:val="center"/>
              <w:rPr>
                <w:rFonts w:hint="eastAsia"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3069653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00F6CA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46747B63">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5C5935E3">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含油废棉纱、手套</w:t>
            </w:r>
          </w:p>
        </w:tc>
        <w:tc>
          <w:tcPr>
            <w:tcW w:w="1575" w:type="dxa"/>
            <w:vAlign w:val="center"/>
          </w:tcPr>
          <w:p w14:paraId="00C9524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4C487C1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2598B037">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6A9881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0.02t/a</w:t>
            </w:r>
          </w:p>
        </w:tc>
        <w:tc>
          <w:tcPr>
            <w:tcW w:w="1761" w:type="dxa"/>
            <w:vAlign w:val="center"/>
          </w:tcPr>
          <w:p w14:paraId="52BBF78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65AD2574">
            <w:pPr>
              <w:spacing w:line="360" w:lineRule="atLeast"/>
              <w:jc w:val="cente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pPr>
          </w:p>
        </w:tc>
        <w:tc>
          <w:tcPr>
            <w:tcW w:w="1217" w:type="dxa"/>
            <w:vAlign w:val="center"/>
          </w:tcPr>
          <w:p w14:paraId="667CB64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bl>
    <w:p w14:paraId="3B407AD0">
      <w:pPr>
        <w:pStyle w:val="48"/>
        <w:spacing w:before="192" w:beforeLines="80" w:after="24"/>
        <w:jc w:val="left"/>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注：</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16"/>
          <w:kern w:val="21"/>
          <w:szCs w:val="21"/>
          <w:highlight w:val="none"/>
          <w14:textFill>
            <w14:solidFill>
              <w14:schemeClr w14:val="tx1"/>
            </w14:solidFill>
          </w14:textFill>
        </w:rPr>
        <w:instrText xml:space="preserve"> = 6 \* GB3 \* MERGEFORMAT </w:instrTex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⑥</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1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1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①</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3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③</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4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④</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16"/>
          <w:kern w:val="21"/>
          <w:szCs w:val="21"/>
          <w:highlight w:val="none"/>
          <w14:textFill>
            <w14:solidFill>
              <w14:schemeClr w14:val="tx1"/>
            </w14:solidFill>
          </w14:textFill>
        </w:rPr>
        <w:instrText xml:space="preserve"> = 5 \* GB3 \* MERGEFORMAT </w:instrTex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⑤</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1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7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⑦</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16"/>
          <w:kern w:val="21"/>
          <w:szCs w:val="21"/>
          <w:highlight w:val="none"/>
          <w14:textFill>
            <w14:solidFill>
              <w14:schemeClr w14:val="tx1"/>
            </w14:solidFill>
          </w14:textFill>
        </w:rPr>
        <w:instrText xml:space="preserve"> = 6 \* GB3 \* MERGEFORMAT </w:instrTex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⑥</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1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1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①</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p>
    <w:p w14:paraId="4FEFA825">
      <w:pPr>
        <w:rPr>
          <w:color w:val="000000" w:themeColor="text1"/>
          <w:highlight w:val="none"/>
          <w14:textFill>
            <w14:solidFill>
              <w14:schemeClr w14:val="tx1"/>
            </w14:solidFill>
          </w14:textFill>
        </w:rPr>
      </w:pPr>
    </w:p>
    <w:sectPr>
      <w:footerReference r:id="rId5" w:type="default"/>
      <w:pgSz w:w="16838" w:h="11906" w:orient="landscape"/>
      <w:pgMar w:top="1531" w:right="1701" w:bottom="1531" w:left="1701" w:header="851" w:footer="850"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_GB2312">
    <w:panose1 w:val="02010609030101010101"/>
    <w:charset w:val="86"/>
    <w:family w:val="modern"/>
    <w:pitch w:val="default"/>
    <w:sig w:usb0="00000001" w:usb1="080E0000" w:usb2="0000000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華康細圓體">
    <w:altName w:val="Microsoft JhengHei"/>
    <w:panose1 w:val="00000000000000000000"/>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2A7" w:usb1="28CF4400" w:usb2="00000016" w:usb3="00000000" w:csb0="00100009"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仿宋_GB2312">
    <w:panose1 w:val="02010609030101010101"/>
    <w:charset w:val="86"/>
    <w:family w:val="modern"/>
    <w:pitch w:val="default"/>
    <w:sig w:usb0="00000001" w:usb1="080E0000" w:usb2="0000000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Wingdings 2">
    <w:altName w:val="Wingdings"/>
    <w:panose1 w:val="05020102010507070707"/>
    <w:charset w:val="00"/>
    <w:family w:val="auto"/>
    <w:pitch w:val="default"/>
    <w:sig w:usb0="00000000" w:usb1="00000000" w:usb2="00000000" w:usb3="00000000" w:csb0="80000000" w:csb1="00000000"/>
  </w:font>
  <w:font w:name="Helvetica">
    <w:altName w:val="Arial"/>
    <w:panose1 w:val="020B0604020202020204"/>
    <w:charset w:val="00"/>
    <w:family w:val="swiss"/>
    <w:pitch w:val="default"/>
    <w:sig w:usb0="00000000" w:usb1="00000000" w:usb2="00000000" w:usb3="00000000" w:csb0="00000001" w:csb1="00000000"/>
  </w:font>
  <w:font w:name="TimesNewRomanPSMT">
    <w:altName w:val="Times New Roman"/>
    <w:panose1 w:val="00000000000000000000"/>
    <w:charset w:val="80"/>
    <w:family w:val="auto"/>
    <w:pitch w:val="default"/>
    <w:sig w:usb0="00000000" w:usb1="00000000" w:usb2="00000000" w:usb3="00000000" w:csb0="00020000" w:csb1="00000000"/>
  </w:font>
  <w:font w:name="TimesNewRomanPS-BoldMT">
    <w:altName w:val="宋体"/>
    <w:panose1 w:val="00000000000000000000"/>
    <w:charset w:val="86"/>
    <w:family w:val="auto"/>
    <w:pitch w:val="default"/>
    <w:sig w:usb0="00000000" w:usb1="00000000" w:usb2="00000000" w:usb3="00000000" w:csb0="00040000" w:csb1="00000000"/>
  </w:font>
  <w:font w:name="Kingsoft 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2BED08">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F8E9C0">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1</w:t>
                          </w:r>
                          <w:r>
                            <w:rPr>
                              <w:rFonts w:hint="default" w:ascii="Times New Roman" w:hAnsi="Times New Roman" w:eastAsia="宋体" w:cs="Times New Roman"/>
                              <w:sz w:val="21"/>
                              <w:szCs w:val="21"/>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3EF8E9C0">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1</w:t>
                    </w:r>
                    <w:r>
                      <w:rPr>
                        <w:rFonts w:hint="default" w:ascii="Times New Roman" w:hAnsi="Times New Roman" w:eastAsia="宋体" w:cs="Times New Roman"/>
                        <w:sz w:val="21"/>
                        <w:szCs w:val="21"/>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427EDD">
    <w:pPr>
      <w:pStyle w:val="1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1E8010">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3</w:t>
                          </w:r>
                          <w:r>
                            <w:rPr>
                              <w:rFonts w:hint="default" w:ascii="Times New Roman" w:hAnsi="Times New Roman" w:eastAsia="宋体" w:cs="Times New Roman"/>
                              <w:sz w:val="21"/>
                              <w:szCs w:val="21"/>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171E8010">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3</w:t>
                    </w:r>
                    <w:r>
                      <w:rPr>
                        <w:rFonts w:hint="default" w:ascii="Times New Roman" w:hAnsi="Times New Roman" w:eastAsia="宋体" w:cs="Times New Roman"/>
                        <w:sz w:val="21"/>
                        <w:szCs w:val="21"/>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3E983">
    <w:pPr>
      <w:pStyle w:val="13"/>
      <w:ind w:right="360" w:firstLine="36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2EF15A">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92</w:t>
                          </w:r>
                          <w:r>
                            <w:rPr>
                              <w:rFonts w:hint="default" w:ascii="Times New Roman" w:hAnsi="Times New Roman" w:eastAsia="宋体" w:cs="Times New Roman"/>
                              <w:sz w:val="21"/>
                              <w:szCs w:val="21"/>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502EF15A">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92</w:t>
                    </w:r>
                    <w:r>
                      <w:rPr>
                        <w:rFonts w:hint="default" w:ascii="Times New Roman" w:hAnsi="Times New Roman" w:eastAsia="宋体" w:cs="Times New Roman"/>
                        <w:sz w:val="21"/>
                        <w:szCs w:val="21"/>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425228"/>
    <w:multiLevelType w:val="singleLevel"/>
    <w:tmpl w:val="84425228"/>
    <w:lvl w:ilvl="0" w:tentative="0">
      <w:start w:val="1"/>
      <w:numFmt w:val="chineseCounting"/>
      <w:suff w:val="nothing"/>
      <w:lvlText w:val="（%1）"/>
      <w:lvlJc w:val="left"/>
      <w:rPr>
        <w:rFonts w:hint="eastAsia"/>
      </w:rPr>
    </w:lvl>
  </w:abstractNum>
  <w:abstractNum w:abstractNumId="1">
    <w:nsid w:val="8C619B3D"/>
    <w:multiLevelType w:val="singleLevel"/>
    <w:tmpl w:val="8C619B3D"/>
    <w:lvl w:ilvl="0" w:tentative="0">
      <w:start w:val="1"/>
      <w:numFmt w:val="decimal"/>
      <w:suff w:val="nothing"/>
      <w:lvlText w:val="%1、"/>
      <w:lvlJc w:val="left"/>
    </w:lvl>
  </w:abstractNum>
  <w:abstractNum w:abstractNumId="2">
    <w:nsid w:val="30317733"/>
    <w:multiLevelType w:val="singleLevel"/>
    <w:tmpl w:val="30317733"/>
    <w:lvl w:ilvl="0" w:tentative="0">
      <w:start w:val="1"/>
      <w:numFmt w:val="decimal"/>
      <w:suff w:val="nothing"/>
      <w:lvlText w:val="%1、"/>
      <w:lvlJc w:val="left"/>
    </w:lvl>
  </w:abstractNum>
  <w:abstractNum w:abstractNumId="3">
    <w:nsid w:val="436AD2EE"/>
    <w:multiLevelType w:val="singleLevel"/>
    <w:tmpl w:val="436AD2EE"/>
    <w:lvl w:ilvl="0" w:tentative="0">
      <w:start w:val="1"/>
      <w:numFmt w:val="decimal"/>
      <w:suff w:val="nothing"/>
      <w:lvlText w:val="（%1）"/>
      <w:lvlJc w:val="left"/>
    </w:lvl>
  </w:abstractNum>
  <w:abstractNum w:abstractNumId="4">
    <w:nsid w:val="56956B01"/>
    <w:multiLevelType w:val="multilevel"/>
    <w:tmpl w:val="56956B01"/>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pStyle w:val="5"/>
      <w:lvlText w:val="%1.%2.%3.%4"/>
      <w:lvlJc w:val="left"/>
      <w:pPr>
        <w:ind w:left="864" w:hanging="864"/>
      </w:pPr>
      <w:rPr>
        <w:rFonts w:hint="default"/>
      </w:r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5">
    <w:nsid w:val="7A8DF8A3"/>
    <w:multiLevelType w:val="singleLevel"/>
    <w:tmpl w:val="7A8DF8A3"/>
    <w:lvl w:ilvl="0" w:tentative="0">
      <w:start w:val="1"/>
      <w:numFmt w:val="decimal"/>
      <w:suff w:val="nothing"/>
      <w:lvlText w:val="（%1）"/>
      <w:lvlJc w:val="left"/>
    </w:lvl>
  </w:abstractNum>
  <w:num w:numId="1">
    <w:abstractNumId w:val="4"/>
  </w:num>
  <w:num w:numId="2">
    <w:abstractNumId w:val="1"/>
  </w:num>
  <w:num w:numId="3">
    <w:abstractNumId w:val="0"/>
  </w:num>
  <w:num w:numId="4">
    <w:abstractNumId w:val="5"/>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diZjhmMDZlNWE1ZTIzNmY0N2FiYWQzNGRiMjI4ODMifQ=="/>
  </w:docVars>
  <w:rsids>
    <w:rsidRoot w:val="00172A27"/>
    <w:rsid w:val="003208FE"/>
    <w:rsid w:val="003A65C8"/>
    <w:rsid w:val="004C71D3"/>
    <w:rsid w:val="004D4038"/>
    <w:rsid w:val="006A4734"/>
    <w:rsid w:val="00BC0BC4"/>
    <w:rsid w:val="00BF0D85"/>
    <w:rsid w:val="01602188"/>
    <w:rsid w:val="019B2BA4"/>
    <w:rsid w:val="01A36DAA"/>
    <w:rsid w:val="021637DC"/>
    <w:rsid w:val="02C34663"/>
    <w:rsid w:val="02DC5CB3"/>
    <w:rsid w:val="030F7AAB"/>
    <w:rsid w:val="03467743"/>
    <w:rsid w:val="0444286C"/>
    <w:rsid w:val="05194DA5"/>
    <w:rsid w:val="05EB3B72"/>
    <w:rsid w:val="05FB70D1"/>
    <w:rsid w:val="06186459"/>
    <w:rsid w:val="06837909"/>
    <w:rsid w:val="06A85518"/>
    <w:rsid w:val="06D97672"/>
    <w:rsid w:val="070F2071"/>
    <w:rsid w:val="071B7C8B"/>
    <w:rsid w:val="07DC5BF5"/>
    <w:rsid w:val="07F16357"/>
    <w:rsid w:val="090817F1"/>
    <w:rsid w:val="096F04E7"/>
    <w:rsid w:val="0B8C2DA5"/>
    <w:rsid w:val="0C8B751A"/>
    <w:rsid w:val="0C9A5B16"/>
    <w:rsid w:val="0D3844B6"/>
    <w:rsid w:val="0DE85789"/>
    <w:rsid w:val="0E5E2DD3"/>
    <w:rsid w:val="0E771914"/>
    <w:rsid w:val="0F5C63BC"/>
    <w:rsid w:val="128327D0"/>
    <w:rsid w:val="12A7148D"/>
    <w:rsid w:val="12BA08E1"/>
    <w:rsid w:val="12CD11E7"/>
    <w:rsid w:val="135251AA"/>
    <w:rsid w:val="136D0BA2"/>
    <w:rsid w:val="14701557"/>
    <w:rsid w:val="14CD32FA"/>
    <w:rsid w:val="154064B9"/>
    <w:rsid w:val="15C607E7"/>
    <w:rsid w:val="162E461F"/>
    <w:rsid w:val="166A06C4"/>
    <w:rsid w:val="16E509B8"/>
    <w:rsid w:val="17F56539"/>
    <w:rsid w:val="18455AD6"/>
    <w:rsid w:val="18684BA1"/>
    <w:rsid w:val="18E8391D"/>
    <w:rsid w:val="19890DB4"/>
    <w:rsid w:val="19A04370"/>
    <w:rsid w:val="19D12B93"/>
    <w:rsid w:val="1A03360D"/>
    <w:rsid w:val="1A0E2B34"/>
    <w:rsid w:val="1AE47BA1"/>
    <w:rsid w:val="1B0E6D4B"/>
    <w:rsid w:val="1B3116DD"/>
    <w:rsid w:val="1B851ABA"/>
    <w:rsid w:val="1B9432B7"/>
    <w:rsid w:val="1BE03FEC"/>
    <w:rsid w:val="1BE74E2C"/>
    <w:rsid w:val="1DC409AB"/>
    <w:rsid w:val="1DE66D51"/>
    <w:rsid w:val="1DFF74F1"/>
    <w:rsid w:val="1E851FFF"/>
    <w:rsid w:val="1EA4168C"/>
    <w:rsid w:val="1ED34DF0"/>
    <w:rsid w:val="1F4D67B3"/>
    <w:rsid w:val="1FC248A0"/>
    <w:rsid w:val="20A36047"/>
    <w:rsid w:val="216C5994"/>
    <w:rsid w:val="22010977"/>
    <w:rsid w:val="2223255E"/>
    <w:rsid w:val="22F11D50"/>
    <w:rsid w:val="237669C8"/>
    <w:rsid w:val="23A337ED"/>
    <w:rsid w:val="2423778D"/>
    <w:rsid w:val="244A2F6C"/>
    <w:rsid w:val="24D82083"/>
    <w:rsid w:val="25EF3B32"/>
    <w:rsid w:val="268D1F83"/>
    <w:rsid w:val="26A734A4"/>
    <w:rsid w:val="26DB5512"/>
    <w:rsid w:val="276F7260"/>
    <w:rsid w:val="277E41F1"/>
    <w:rsid w:val="27DC3161"/>
    <w:rsid w:val="28D0604B"/>
    <w:rsid w:val="293B3B0F"/>
    <w:rsid w:val="29BF445B"/>
    <w:rsid w:val="29E42D18"/>
    <w:rsid w:val="2A5650E5"/>
    <w:rsid w:val="2AB87CDF"/>
    <w:rsid w:val="2AF17936"/>
    <w:rsid w:val="2D1F57E6"/>
    <w:rsid w:val="2D7B5F44"/>
    <w:rsid w:val="2EE26EBF"/>
    <w:rsid w:val="2EF64A8D"/>
    <w:rsid w:val="2F1D50AF"/>
    <w:rsid w:val="2FB853F6"/>
    <w:rsid w:val="2FB910A0"/>
    <w:rsid w:val="2FDA249D"/>
    <w:rsid w:val="2FE4143E"/>
    <w:rsid w:val="302253B9"/>
    <w:rsid w:val="302F1409"/>
    <w:rsid w:val="30B47EEF"/>
    <w:rsid w:val="30DD4FDD"/>
    <w:rsid w:val="31C52255"/>
    <w:rsid w:val="31E064AE"/>
    <w:rsid w:val="32263B56"/>
    <w:rsid w:val="32737E30"/>
    <w:rsid w:val="32AA17AC"/>
    <w:rsid w:val="32E5243B"/>
    <w:rsid w:val="32F12D33"/>
    <w:rsid w:val="3570550C"/>
    <w:rsid w:val="357E08B3"/>
    <w:rsid w:val="35C74EA6"/>
    <w:rsid w:val="366451BC"/>
    <w:rsid w:val="36976B10"/>
    <w:rsid w:val="36AC4C9A"/>
    <w:rsid w:val="36DA3645"/>
    <w:rsid w:val="36F737EC"/>
    <w:rsid w:val="372B6EE3"/>
    <w:rsid w:val="37FD69CE"/>
    <w:rsid w:val="38103998"/>
    <w:rsid w:val="38337BC3"/>
    <w:rsid w:val="38506549"/>
    <w:rsid w:val="38536A00"/>
    <w:rsid w:val="38BE765D"/>
    <w:rsid w:val="38DC38B9"/>
    <w:rsid w:val="397321C6"/>
    <w:rsid w:val="39A41C6C"/>
    <w:rsid w:val="39A8051F"/>
    <w:rsid w:val="39F4708A"/>
    <w:rsid w:val="3A2F2861"/>
    <w:rsid w:val="3A972E66"/>
    <w:rsid w:val="3C553E04"/>
    <w:rsid w:val="3CD3115C"/>
    <w:rsid w:val="3D4010BE"/>
    <w:rsid w:val="3D5F54EB"/>
    <w:rsid w:val="3DF24B62"/>
    <w:rsid w:val="3E886E24"/>
    <w:rsid w:val="3EE53BEF"/>
    <w:rsid w:val="3F022FB0"/>
    <w:rsid w:val="3F140292"/>
    <w:rsid w:val="3F5869E2"/>
    <w:rsid w:val="3F8F7D03"/>
    <w:rsid w:val="3F906948"/>
    <w:rsid w:val="3FDE6F4E"/>
    <w:rsid w:val="3FE30C73"/>
    <w:rsid w:val="400F63E8"/>
    <w:rsid w:val="40DB5220"/>
    <w:rsid w:val="413F188A"/>
    <w:rsid w:val="41CE6726"/>
    <w:rsid w:val="41DA7B08"/>
    <w:rsid w:val="41EA3460"/>
    <w:rsid w:val="42126973"/>
    <w:rsid w:val="43B85F9B"/>
    <w:rsid w:val="441413BA"/>
    <w:rsid w:val="444E3969"/>
    <w:rsid w:val="44532EF0"/>
    <w:rsid w:val="45060392"/>
    <w:rsid w:val="450C1EFE"/>
    <w:rsid w:val="45B6756E"/>
    <w:rsid w:val="46B95F17"/>
    <w:rsid w:val="46D94096"/>
    <w:rsid w:val="47094EA5"/>
    <w:rsid w:val="478716FD"/>
    <w:rsid w:val="48141432"/>
    <w:rsid w:val="489F64F3"/>
    <w:rsid w:val="48F549A5"/>
    <w:rsid w:val="49A10689"/>
    <w:rsid w:val="4AA3050A"/>
    <w:rsid w:val="4B3A5387"/>
    <w:rsid w:val="4B485AB3"/>
    <w:rsid w:val="4B77150E"/>
    <w:rsid w:val="4C131590"/>
    <w:rsid w:val="4D1B0752"/>
    <w:rsid w:val="4DAD70B2"/>
    <w:rsid w:val="4DBF2C45"/>
    <w:rsid w:val="4DD73263"/>
    <w:rsid w:val="4EC20C4B"/>
    <w:rsid w:val="4EC31C76"/>
    <w:rsid w:val="4EF84F8A"/>
    <w:rsid w:val="4F2A003B"/>
    <w:rsid w:val="50ED5D65"/>
    <w:rsid w:val="520E7773"/>
    <w:rsid w:val="52306A18"/>
    <w:rsid w:val="52BE58E6"/>
    <w:rsid w:val="530552A4"/>
    <w:rsid w:val="533611D4"/>
    <w:rsid w:val="53B15902"/>
    <w:rsid w:val="54A751F3"/>
    <w:rsid w:val="55412178"/>
    <w:rsid w:val="556F0C62"/>
    <w:rsid w:val="56010E0C"/>
    <w:rsid w:val="564512D1"/>
    <w:rsid w:val="56464A92"/>
    <w:rsid w:val="56655E0A"/>
    <w:rsid w:val="5700611C"/>
    <w:rsid w:val="5785715A"/>
    <w:rsid w:val="57C10411"/>
    <w:rsid w:val="59462FFB"/>
    <w:rsid w:val="5A626223"/>
    <w:rsid w:val="5A6C268A"/>
    <w:rsid w:val="5A8D78BD"/>
    <w:rsid w:val="5AA54982"/>
    <w:rsid w:val="5AB519F1"/>
    <w:rsid w:val="5B7B19A9"/>
    <w:rsid w:val="5B8C5817"/>
    <w:rsid w:val="5C3F3073"/>
    <w:rsid w:val="5C652879"/>
    <w:rsid w:val="5D8D4D61"/>
    <w:rsid w:val="5DAF0BBC"/>
    <w:rsid w:val="5DF56401"/>
    <w:rsid w:val="5EAB06EF"/>
    <w:rsid w:val="5EDA2718"/>
    <w:rsid w:val="5F0D0AF0"/>
    <w:rsid w:val="5F4928E4"/>
    <w:rsid w:val="5FDE1FE4"/>
    <w:rsid w:val="60FC124A"/>
    <w:rsid w:val="6229133E"/>
    <w:rsid w:val="626C2AE4"/>
    <w:rsid w:val="626D508F"/>
    <w:rsid w:val="62AA7047"/>
    <w:rsid w:val="63CA76B6"/>
    <w:rsid w:val="63F1683C"/>
    <w:rsid w:val="647C28C2"/>
    <w:rsid w:val="64D861EB"/>
    <w:rsid w:val="65627009"/>
    <w:rsid w:val="657116FB"/>
    <w:rsid w:val="65AF1C1E"/>
    <w:rsid w:val="669D1757"/>
    <w:rsid w:val="66FB3E26"/>
    <w:rsid w:val="67E17DD8"/>
    <w:rsid w:val="69104359"/>
    <w:rsid w:val="697B4180"/>
    <w:rsid w:val="699E7715"/>
    <w:rsid w:val="6A4627DC"/>
    <w:rsid w:val="6B0A032C"/>
    <w:rsid w:val="6B167F95"/>
    <w:rsid w:val="6B2E77E9"/>
    <w:rsid w:val="6CBE1C7B"/>
    <w:rsid w:val="6CD73AC3"/>
    <w:rsid w:val="6D7252AB"/>
    <w:rsid w:val="6D835329"/>
    <w:rsid w:val="6DCA519A"/>
    <w:rsid w:val="6E773352"/>
    <w:rsid w:val="6F373959"/>
    <w:rsid w:val="702A28D7"/>
    <w:rsid w:val="70C9177A"/>
    <w:rsid w:val="70CB3703"/>
    <w:rsid w:val="725D6D73"/>
    <w:rsid w:val="731218D8"/>
    <w:rsid w:val="73980CBC"/>
    <w:rsid w:val="756379E0"/>
    <w:rsid w:val="76045CBE"/>
    <w:rsid w:val="76107DF5"/>
    <w:rsid w:val="769A7931"/>
    <w:rsid w:val="76D46599"/>
    <w:rsid w:val="77BB3B42"/>
    <w:rsid w:val="793F5645"/>
    <w:rsid w:val="7A065BEA"/>
    <w:rsid w:val="7A482EB7"/>
    <w:rsid w:val="7B0B4F67"/>
    <w:rsid w:val="7B2D29EB"/>
    <w:rsid w:val="7B967AC3"/>
    <w:rsid w:val="7BA50229"/>
    <w:rsid w:val="7DB04849"/>
    <w:rsid w:val="7DB5534B"/>
    <w:rsid w:val="7DC2210D"/>
    <w:rsid w:val="7E1A0D25"/>
    <w:rsid w:val="7E982A3F"/>
    <w:rsid w:val="7ECA1FD1"/>
    <w:rsid w:val="7F030EC3"/>
    <w:rsid w:val="7F1450AB"/>
    <w:rsid w:val="7F3C5D01"/>
    <w:rsid w:val="7F7F6BAE"/>
    <w:rsid w:val="7FCA2B5D"/>
    <w:rsid w:val="7FD65F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qFormat="1" w:uiPriority="99"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等线" w:hAnsi="等线" w:eastAsia="等线" w:cs="Times New Roman"/>
      <w:kern w:val="2"/>
      <w:sz w:val="21"/>
      <w:szCs w:val="22"/>
      <w:lang w:val="en-US" w:eastAsia="zh-CN" w:bidi="ar-SA"/>
    </w:rPr>
  </w:style>
  <w:style w:type="paragraph" w:styleId="3">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paragraph" w:styleId="5">
    <w:name w:val="heading 4"/>
    <w:basedOn w:val="1"/>
    <w:next w:val="1"/>
    <w:qFormat/>
    <w:uiPriority w:val="0"/>
    <w:pPr>
      <w:keepNext/>
      <w:keepLines/>
      <w:numPr>
        <w:ilvl w:val="3"/>
        <w:numId w:val="1"/>
      </w:numPr>
      <w:spacing w:beforeLines="50" w:after="78"/>
      <w:outlineLvl w:val="3"/>
    </w:pPr>
    <w:rPr>
      <w:rFonts w:ascii="Arial" w:hAnsi="Arial" w:eastAsia="楷体_GB2312"/>
      <w:b/>
      <w:bCs/>
      <w:sz w:val="24"/>
      <w:shd w:val="clear" w:color="auto" w:fill="FFFFFF"/>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next w:val="1"/>
    <w:qFormat/>
    <w:uiPriority w:val="0"/>
    <w:pPr>
      <w:spacing w:after="120" w:line="480" w:lineRule="auto"/>
      <w:ind w:left="420" w:leftChars="200"/>
    </w:pPr>
  </w:style>
  <w:style w:type="paragraph" w:styleId="6">
    <w:name w:val="Normal Indent"/>
    <w:basedOn w:val="1"/>
    <w:qFormat/>
    <w:uiPriority w:val="0"/>
    <w:pPr>
      <w:adjustRightInd w:val="0"/>
      <w:ind w:firstLine="420"/>
      <w:jc w:val="left"/>
    </w:pPr>
    <w:rPr>
      <w:sz w:val="24"/>
      <w:szCs w:val="22"/>
    </w:rPr>
  </w:style>
  <w:style w:type="paragraph" w:styleId="7">
    <w:name w:val="annotation text"/>
    <w:basedOn w:val="1"/>
    <w:link w:val="50"/>
    <w:semiHidden/>
    <w:qFormat/>
    <w:uiPriority w:val="0"/>
    <w:pPr>
      <w:jc w:val="left"/>
    </w:pPr>
    <w:rPr>
      <w:rFonts w:ascii="Times New Roman" w:hAnsi="Times New Roman" w:eastAsia="宋体"/>
      <w:kern w:val="0"/>
      <w:sz w:val="24"/>
      <w:szCs w:val="20"/>
    </w:rPr>
  </w:style>
  <w:style w:type="paragraph" w:styleId="8">
    <w:name w:val="Body Text"/>
    <w:basedOn w:val="1"/>
    <w:next w:val="1"/>
    <w:qFormat/>
    <w:uiPriority w:val="0"/>
    <w:pPr>
      <w:widowControl/>
      <w:snapToGrid w:val="0"/>
      <w:spacing w:before="60" w:after="160" w:line="259" w:lineRule="auto"/>
      <w:ind w:right="113"/>
    </w:pPr>
    <w:rPr>
      <w:kern w:val="0"/>
      <w:sz w:val="18"/>
      <w:szCs w:val="20"/>
    </w:rPr>
  </w:style>
  <w:style w:type="paragraph" w:styleId="9">
    <w:name w:val="Body Text Indent"/>
    <w:basedOn w:val="1"/>
    <w:semiHidden/>
    <w:qFormat/>
    <w:uiPriority w:val="0"/>
    <w:pPr>
      <w:spacing w:after="120"/>
      <w:ind w:left="420" w:leftChars="200"/>
    </w:pPr>
    <w:rPr>
      <w:rFonts w:ascii="Times New Roman" w:hAnsi="Times New Roman"/>
      <w:kern w:val="0"/>
      <w:sz w:val="24"/>
      <w:szCs w:val="24"/>
    </w:rPr>
  </w:style>
  <w:style w:type="paragraph" w:styleId="10">
    <w:name w:val="Block Text"/>
    <w:basedOn w:val="1"/>
    <w:qFormat/>
    <w:uiPriority w:val="0"/>
    <w:pPr>
      <w:spacing w:after="120"/>
      <w:ind w:left="1440" w:leftChars="700" w:right="1440" w:rightChars="700"/>
    </w:pPr>
    <w:rPr>
      <w:rFonts w:ascii="Times New Roman" w:hAnsi="Times New Roman" w:eastAsia="宋体"/>
      <w:szCs w:val="20"/>
    </w:rPr>
  </w:style>
  <w:style w:type="paragraph" w:styleId="11">
    <w:name w:val="Plain Text"/>
    <w:basedOn w:val="1"/>
    <w:qFormat/>
    <w:uiPriority w:val="0"/>
    <w:rPr>
      <w:rFonts w:ascii="宋体" w:hAnsi="Courier New"/>
      <w:szCs w:val="20"/>
    </w:rPr>
  </w:style>
  <w:style w:type="paragraph" w:styleId="12">
    <w:name w:val="Balloon Text"/>
    <w:basedOn w:val="1"/>
    <w:link w:val="52"/>
    <w:qFormat/>
    <w:uiPriority w:val="0"/>
    <w:rPr>
      <w:sz w:val="18"/>
      <w:szCs w:val="18"/>
    </w:rPr>
  </w:style>
  <w:style w:type="paragraph" w:styleId="13">
    <w:name w:val="footer"/>
    <w:basedOn w:val="1"/>
    <w:link w:val="46"/>
    <w:qFormat/>
    <w:uiPriority w:val="99"/>
    <w:pPr>
      <w:tabs>
        <w:tab w:val="center" w:pos="4153"/>
        <w:tab w:val="right" w:pos="8306"/>
      </w:tabs>
      <w:snapToGrid w:val="0"/>
      <w:jc w:val="left"/>
    </w:pPr>
    <w:rPr>
      <w:kern w:val="0"/>
      <w:sz w:val="18"/>
      <w:szCs w:val="18"/>
    </w:rPr>
  </w:style>
  <w:style w:type="paragraph" w:styleId="14">
    <w:name w:val="header"/>
    <w:basedOn w:val="1"/>
    <w:next w:val="13"/>
    <w:link w:val="45"/>
    <w:qFormat/>
    <w:uiPriority w:val="0"/>
    <w:pPr>
      <w:pBdr>
        <w:bottom w:val="single" w:color="auto" w:sz="6" w:space="1"/>
      </w:pBdr>
      <w:tabs>
        <w:tab w:val="center" w:pos="4153"/>
        <w:tab w:val="right" w:pos="8306"/>
      </w:tabs>
      <w:snapToGrid w:val="0"/>
      <w:jc w:val="center"/>
    </w:pPr>
    <w:rPr>
      <w:kern w:val="0"/>
      <w:sz w:val="18"/>
      <w:szCs w:val="20"/>
    </w:rPr>
  </w:style>
  <w:style w:type="paragraph" w:styleId="15">
    <w:name w:val="index heading"/>
    <w:basedOn w:val="1"/>
    <w:next w:val="16"/>
    <w:unhideWhenUsed/>
    <w:qFormat/>
    <w:uiPriority w:val="99"/>
    <w:rPr>
      <w:rFonts w:ascii="Arial" w:hAnsi="Arial" w:cs="Arial"/>
      <w:b/>
      <w:bCs/>
    </w:rPr>
  </w:style>
  <w:style w:type="paragraph" w:styleId="16">
    <w:name w:val="index 1"/>
    <w:basedOn w:val="1"/>
    <w:next w:val="1"/>
    <w:unhideWhenUsed/>
    <w:qFormat/>
    <w:uiPriority w:val="99"/>
    <w:pPr>
      <w:tabs>
        <w:tab w:val="left" w:pos="5580"/>
      </w:tabs>
      <w:spacing w:line="280" w:lineRule="exact"/>
    </w:pPr>
    <w:rPr>
      <w:rFonts w:ascii="宋体" w:hAnsi="宋体"/>
      <w:spacing w:val="10"/>
    </w:rPr>
  </w:style>
  <w:style w:type="paragraph" w:styleId="17">
    <w:name w:val="Normal (Web)"/>
    <w:basedOn w:val="1"/>
    <w:qFormat/>
    <w:uiPriority w:val="0"/>
    <w:pPr>
      <w:jc w:val="left"/>
    </w:pPr>
    <w:rPr>
      <w:rFonts w:ascii="Calibri" w:hAnsi="Calibri"/>
      <w:kern w:val="0"/>
      <w:sz w:val="24"/>
      <w:szCs w:val="24"/>
    </w:rPr>
  </w:style>
  <w:style w:type="paragraph" w:styleId="18">
    <w:name w:val="annotation subject"/>
    <w:basedOn w:val="7"/>
    <w:next w:val="7"/>
    <w:link w:val="51"/>
    <w:qFormat/>
    <w:uiPriority w:val="0"/>
    <w:rPr>
      <w:rFonts w:ascii="等线" w:hAnsi="等线" w:eastAsia="等线"/>
      <w:b/>
      <w:bCs/>
      <w:kern w:val="2"/>
      <w:sz w:val="21"/>
      <w:szCs w:val="22"/>
    </w:rPr>
  </w:style>
  <w:style w:type="paragraph" w:styleId="19">
    <w:name w:val="Body Text First Indent 2"/>
    <w:basedOn w:val="9"/>
    <w:next w:val="8"/>
    <w:qFormat/>
    <w:uiPriority w:val="0"/>
    <w:pPr>
      <w:ind w:firstLine="420" w:firstLineChars="200"/>
    </w:pPr>
    <w:rPr>
      <w:kern w:val="2"/>
      <w:sz w:val="21"/>
      <w:szCs w:val="21"/>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qFormat/>
    <w:uiPriority w:val="0"/>
    <w:rPr>
      <w:color w:val="000000"/>
      <w:u w:val="none"/>
    </w:rPr>
  </w:style>
  <w:style w:type="character" w:styleId="25">
    <w:name w:val="Emphasis"/>
    <w:basedOn w:val="22"/>
    <w:qFormat/>
    <w:uiPriority w:val="0"/>
    <w:rPr>
      <w:i/>
    </w:rPr>
  </w:style>
  <w:style w:type="character" w:styleId="26">
    <w:name w:val="Hyperlink"/>
    <w:basedOn w:val="22"/>
    <w:qFormat/>
    <w:uiPriority w:val="0"/>
    <w:rPr>
      <w:color w:val="000000"/>
      <w:u w:val="none"/>
    </w:rPr>
  </w:style>
  <w:style w:type="character" w:styleId="27">
    <w:name w:val="annotation reference"/>
    <w:semiHidden/>
    <w:qFormat/>
    <w:uiPriority w:val="0"/>
    <w:rPr>
      <w:sz w:val="21"/>
    </w:rPr>
  </w:style>
  <w:style w:type="paragraph" w:customStyle="1" w:styleId="28">
    <w:name w:val="z正文"/>
    <w:basedOn w:val="1"/>
    <w:qFormat/>
    <w:uiPriority w:val="0"/>
    <w:pPr>
      <w:tabs>
        <w:tab w:val="left" w:pos="525"/>
      </w:tabs>
      <w:spacing w:line="360" w:lineRule="auto"/>
    </w:pPr>
    <w:rPr>
      <w:rFonts w:ascii="宋体" w:hAnsi="宋体" w:eastAsia="宋体"/>
      <w:szCs w:val="20"/>
    </w:rPr>
  </w:style>
  <w:style w:type="paragraph" w:customStyle="1" w:styleId="29">
    <w:name w:val="Default"/>
    <w:basedOn w:val="30"/>
    <w:next w:val="31"/>
    <w:qFormat/>
    <w:uiPriority w:val="0"/>
    <w:pPr>
      <w:autoSpaceDE w:val="0"/>
      <w:autoSpaceDN w:val="0"/>
    </w:pPr>
    <w:rPr>
      <w:rFonts w:ascii="Sim Sun" w:hAnsi="Calibri" w:eastAsia="Sim Sun" w:cs="Sim Sun"/>
      <w:color w:val="000000"/>
      <w:szCs w:val="24"/>
    </w:rPr>
  </w:style>
  <w:style w:type="paragraph" w:customStyle="1" w:styleId="30">
    <w:name w:val="纯文本1"/>
    <w:qFormat/>
    <w:uiPriority w:val="0"/>
    <w:pPr>
      <w:widowControl w:val="0"/>
      <w:adjustRightInd w:val="0"/>
      <w:spacing w:line="480" w:lineRule="exact"/>
      <w:jc w:val="both"/>
    </w:pPr>
    <w:rPr>
      <w:rFonts w:ascii="宋体" w:hAnsi="Courier New" w:eastAsia="宋体" w:cs="Times New Roman"/>
      <w:kern w:val="2"/>
      <w:sz w:val="24"/>
      <w:lang w:val="en-US" w:eastAsia="zh-CN" w:bidi="ar-SA"/>
    </w:rPr>
  </w:style>
  <w:style w:type="paragraph" w:customStyle="1" w:styleId="31">
    <w:name w:val="样式1"/>
    <w:basedOn w:val="15"/>
    <w:next w:val="10"/>
    <w:qFormat/>
    <w:uiPriority w:val="0"/>
    <w:pPr>
      <w:spacing w:line="600" w:lineRule="exact"/>
      <w:ind w:firstLine="560" w:firstLineChars="200"/>
    </w:pPr>
    <w:rPr>
      <w:rFonts w:ascii="宋体" w:hAnsi="宋体" w:eastAsia="宋体" w:cs="Times New Roman"/>
      <w:sz w:val="28"/>
      <w:szCs w:val="28"/>
    </w:rPr>
  </w:style>
  <w:style w:type="paragraph" w:styleId="32">
    <w:name w:val="No Spacing"/>
    <w:basedOn w:val="1"/>
    <w:qFormat/>
    <w:uiPriority w:val="99"/>
    <w:pPr>
      <w:spacing w:line="360" w:lineRule="auto"/>
    </w:pPr>
    <w:rPr>
      <w:sz w:val="24"/>
    </w:rPr>
  </w:style>
  <w:style w:type="paragraph" w:customStyle="1" w:styleId="33">
    <w:name w:val="样式 标题 2 + 宋体"/>
    <w:basedOn w:val="34"/>
    <w:qFormat/>
    <w:uiPriority w:val="0"/>
    <w:rPr>
      <w:rFonts w:ascii="宋体" w:hAnsi="宋体" w:eastAsia="宋体"/>
      <w:sz w:val="30"/>
    </w:rPr>
  </w:style>
  <w:style w:type="paragraph" w:customStyle="1" w:styleId="34">
    <w:name w:val="！正文"/>
    <w:basedOn w:val="1"/>
    <w:qFormat/>
    <w:uiPriority w:val="0"/>
    <w:pPr>
      <w:ind w:firstLine="480"/>
    </w:pPr>
    <w:rPr>
      <w:rFonts w:ascii="華康細圓體" w:hAnsi="華康細圓體"/>
      <w:szCs w:val="20"/>
    </w:rPr>
  </w:style>
  <w:style w:type="paragraph" w:customStyle="1" w:styleId="35">
    <w:name w:val="表格正文"/>
    <w:basedOn w:val="1"/>
    <w:qFormat/>
    <w:uiPriority w:val="0"/>
    <w:pPr>
      <w:spacing w:line="360" w:lineRule="exact"/>
      <w:jc w:val="center"/>
    </w:pPr>
  </w:style>
  <w:style w:type="paragraph" w:customStyle="1" w:styleId="36">
    <w:name w:val="表"/>
    <w:basedOn w:val="1"/>
    <w:next w:val="37"/>
    <w:qFormat/>
    <w:uiPriority w:val="99"/>
    <w:pPr>
      <w:keepNext/>
      <w:adjustRightInd w:val="0"/>
      <w:spacing w:line="320" w:lineRule="exact"/>
      <w:jc w:val="center"/>
      <w:textAlignment w:val="baseline"/>
    </w:pPr>
    <w:rPr>
      <w:rFonts w:eastAsia="楷体_GB2312"/>
      <w:kern w:val="0"/>
      <w:szCs w:val="20"/>
    </w:rPr>
  </w:style>
  <w:style w:type="paragraph" w:customStyle="1" w:styleId="37">
    <w:name w:val="正文2"/>
    <w:basedOn w:val="1"/>
    <w:next w:val="1"/>
    <w:qFormat/>
    <w:uiPriority w:val="99"/>
    <w:pPr>
      <w:adjustRightInd w:val="0"/>
      <w:snapToGrid w:val="0"/>
      <w:spacing w:line="480" w:lineRule="exact"/>
      <w:ind w:firstLine="567"/>
    </w:pPr>
    <w:rPr>
      <w:rFonts w:ascii="Times New Roman" w:hAnsi="Times New Roman"/>
    </w:rPr>
  </w:style>
  <w:style w:type="paragraph" w:customStyle="1" w:styleId="38">
    <w:name w:val="Normal_0_0"/>
    <w:qFormat/>
    <w:uiPriority w:val="0"/>
    <w:pPr>
      <w:widowControl w:val="0"/>
      <w:spacing w:line="360" w:lineRule="auto"/>
      <w:ind w:firstLine="200" w:firstLineChars="200"/>
      <w:jc w:val="both"/>
    </w:pPr>
    <w:rPr>
      <w:rFonts w:ascii="Times New Roman" w:hAnsi="Times New Roman" w:eastAsia="仿宋" w:cs="Times New Roman"/>
      <w:kern w:val="2"/>
      <w:sz w:val="28"/>
      <w:szCs w:val="21"/>
      <w:lang w:val="en-US" w:eastAsia="zh-CN" w:bidi="ar-SA"/>
    </w:rPr>
  </w:style>
  <w:style w:type="table" w:customStyle="1" w:styleId="39">
    <w:name w:val="Table Grid_0"/>
    <w:basedOn w:val="20"/>
    <w:qFormat/>
    <w:uiPriority w:val="0"/>
    <w:rPr>
      <w:rFonts w:eastAsia="仿宋"/>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0">
    <w:name w:val="国保表格名"/>
    <w:basedOn w:val="1"/>
    <w:qFormat/>
    <w:uiPriority w:val="0"/>
    <w:pPr>
      <w:spacing w:beforeLines="50"/>
      <w:jc w:val="center"/>
    </w:pPr>
    <w:rPr>
      <w:rFonts w:ascii="Times New Roman" w:hAnsi="黑体" w:eastAsia="黑体"/>
      <w:kern w:val="0"/>
      <w:sz w:val="20"/>
      <w:szCs w:val="20"/>
    </w:rPr>
  </w:style>
  <w:style w:type="paragraph" w:customStyle="1" w:styleId="41">
    <w:name w:val="国保正文"/>
    <w:basedOn w:val="1"/>
    <w:qFormat/>
    <w:uiPriority w:val="0"/>
    <w:pPr>
      <w:spacing w:line="500" w:lineRule="exact"/>
      <w:ind w:firstLine="480" w:firstLineChars="200"/>
    </w:pPr>
    <w:rPr>
      <w:rFonts w:ascii="Times New Roman" w:hAnsi="Times New Roman"/>
      <w:kern w:val="0"/>
      <w:sz w:val="24"/>
      <w:szCs w:val="24"/>
    </w:rPr>
  </w:style>
  <w:style w:type="paragraph" w:customStyle="1" w:styleId="42">
    <w:name w:val="国保1标"/>
    <w:basedOn w:val="1"/>
    <w:qFormat/>
    <w:uiPriority w:val="0"/>
    <w:pPr>
      <w:spacing w:before="120" w:beforeLines="50" w:after="120" w:afterLines="50"/>
      <w:jc w:val="center"/>
      <w:outlineLvl w:val="0"/>
    </w:pPr>
    <w:rPr>
      <w:rFonts w:ascii="黑体" w:hAnsi="Times New Roman" w:eastAsia="黑体"/>
      <w:snapToGrid w:val="0"/>
      <w:kern w:val="0"/>
      <w:sz w:val="36"/>
      <w:szCs w:val="32"/>
    </w:rPr>
  </w:style>
  <w:style w:type="character" w:customStyle="1" w:styleId="43">
    <w:name w:val="hover26"/>
    <w:basedOn w:val="22"/>
    <w:qFormat/>
    <w:uiPriority w:val="0"/>
  </w:style>
  <w:style w:type="character" w:customStyle="1" w:styleId="44">
    <w:name w:val="bsharetext"/>
    <w:basedOn w:val="22"/>
    <w:qFormat/>
    <w:uiPriority w:val="0"/>
  </w:style>
  <w:style w:type="character" w:customStyle="1" w:styleId="45">
    <w:name w:val="页眉 字符"/>
    <w:basedOn w:val="22"/>
    <w:link w:val="14"/>
    <w:qFormat/>
    <w:uiPriority w:val="0"/>
    <w:rPr>
      <w:rFonts w:hint="default" w:ascii="Calibri" w:hAnsi="Calibri" w:cs="Calibri"/>
    </w:rPr>
  </w:style>
  <w:style w:type="character" w:customStyle="1" w:styleId="46">
    <w:name w:val="页脚 字符"/>
    <w:basedOn w:val="22"/>
    <w:link w:val="13"/>
    <w:qFormat/>
    <w:uiPriority w:val="0"/>
    <w:rPr>
      <w:rFonts w:hint="default" w:ascii="Calibri" w:hAnsi="Calibri" w:cs="Calibri"/>
    </w:rPr>
  </w:style>
  <w:style w:type="character" w:customStyle="1" w:styleId="47">
    <w:name w:val="15"/>
    <w:basedOn w:val="22"/>
    <w:qFormat/>
    <w:uiPriority w:val="0"/>
    <w:rPr>
      <w:rFonts w:hint="default" w:ascii="Times New Roman" w:hAnsi="Times New Roman" w:cs="Times New Roman"/>
      <w:b/>
    </w:rPr>
  </w:style>
  <w:style w:type="paragraph" w:customStyle="1" w:styleId="48">
    <w:name w:val="表格"/>
    <w:basedOn w:val="1"/>
    <w:next w:val="1"/>
    <w:qFormat/>
    <w:uiPriority w:val="0"/>
    <w:pPr>
      <w:adjustRightInd w:val="0"/>
      <w:snapToGrid w:val="0"/>
      <w:spacing w:beforeLines="10" w:afterLines="10" w:line="259" w:lineRule="auto"/>
      <w:jc w:val="center"/>
    </w:pPr>
    <w:rPr>
      <w:rFonts w:ascii="宋体"/>
      <w:kern w:val="0"/>
      <w:szCs w:val="20"/>
    </w:rPr>
  </w:style>
  <w:style w:type="paragraph" w:customStyle="1" w:styleId="49">
    <w:name w:val="目录 11"/>
    <w:basedOn w:val="1"/>
    <w:next w:val="1"/>
    <w:qFormat/>
    <w:locked/>
    <w:uiPriority w:val="39"/>
    <w:pPr>
      <w:widowControl/>
      <w:spacing w:before="360"/>
      <w:jc w:val="left"/>
    </w:pPr>
    <w:rPr>
      <w:rFonts w:ascii="Cambria" w:hAnsi="Cambria"/>
      <w:b/>
      <w:bCs/>
      <w:caps/>
      <w:sz w:val="24"/>
      <w:szCs w:val="21"/>
    </w:rPr>
  </w:style>
  <w:style w:type="character" w:customStyle="1" w:styleId="50">
    <w:name w:val="批注文字 字符"/>
    <w:basedOn w:val="22"/>
    <w:link w:val="7"/>
    <w:semiHidden/>
    <w:qFormat/>
    <w:uiPriority w:val="0"/>
    <w:rPr>
      <w:sz w:val="24"/>
    </w:rPr>
  </w:style>
  <w:style w:type="character" w:customStyle="1" w:styleId="51">
    <w:name w:val="批注主题 字符"/>
    <w:basedOn w:val="50"/>
    <w:link w:val="18"/>
    <w:qFormat/>
    <w:uiPriority w:val="0"/>
    <w:rPr>
      <w:rFonts w:ascii="等线" w:hAnsi="等线" w:eastAsia="等线"/>
      <w:b/>
      <w:bCs/>
      <w:kern w:val="2"/>
      <w:sz w:val="21"/>
      <w:szCs w:val="22"/>
    </w:rPr>
  </w:style>
  <w:style w:type="character" w:customStyle="1" w:styleId="52">
    <w:name w:val="批注框文本 字符"/>
    <w:basedOn w:val="22"/>
    <w:link w:val="12"/>
    <w:qFormat/>
    <w:uiPriority w:val="0"/>
    <w:rPr>
      <w:rFonts w:ascii="等线" w:hAnsi="等线" w:eastAsia="等线"/>
      <w:kern w:val="2"/>
      <w:sz w:val="18"/>
      <w:szCs w:val="18"/>
    </w:rPr>
  </w:style>
  <w:style w:type="paragraph" w:customStyle="1" w:styleId="53">
    <w:name w:val="Normal_0"/>
    <w:qFormat/>
    <w:uiPriority w:val="0"/>
    <w:pPr>
      <w:widowControl w:val="0"/>
      <w:spacing w:line="360" w:lineRule="auto"/>
      <w:ind w:firstLine="200" w:firstLineChars="200"/>
      <w:jc w:val="both"/>
    </w:pPr>
    <w:rPr>
      <w:rFonts w:ascii="Times New Roman" w:hAnsi="Times New Roman" w:eastAsia="仿宋" w:cs="Times New Roman"/>
      <w:kern w:val="2"/>
      <w:sz w:val="28"/>
      <w:szCs w:val="21"/>
      <w:lang w:val="en-US" w:eastAsia="zh-CN" w:bidi="ar-SA"/>
    </w:rPr>
  </w:style>
  <w:style w:type="paragraph" w:customStyle="1" w:styleId="54">
    <w:name w:val="Table Paragraph"/>
    <w:basedOn w:val="1"/>
    <w:unhideWhenUsed/>
    <w:qFormat/>
    <w:uiPriority w:val="1"/>
    <w:pPr>
      <w:spacing w:beforeLines="0" w:afterLines="0"/>
    </w:pPr>
    <w:rPr>
      <w:rFonts w:hint="default"/>
      <w:sz w:val="24"/>
      <w:szCs w:val="24"/>
    </w:rPr>
  </w:style>
  <w:style w:type="paragraph" w:customStyle="1" w:styleId="55">
    <w:name w:val="1、图名"/>
    <w:basedOn w:val="6"/>
    <w:qFormat/>
    <w:uiPriority w:val="0"/>
    <w:pPr>
      <w:ind w:firstLine="0"/>
      <w:jc w:val="center"/>
    </w:pPr>
    <w:rPr>
      <w:rFonts w:ascii="Times"/>
      <w:b/>
      <w:sz w:val="21"/>
      <w:szCs w:val="21"/>
    </w:rPr>
  </w:style>
  <w:style w:type="paragraph" w:customStyle="1" w:styleId="56">
    <w:name w:val="正文001"/>
    <w:basedOn w:val="1"/>
    <w:qFormat/>
    <w:uiPriority w:val="0"/>
    <w:pPr>
      <w:spacing w:before="60" w:line="420" w:lineRule="atLeast"/>
      <w:ind w:firstLine="482"/>
    </w:pPr>
    <w:rPr>
      <w:sz w:val="24"/>
    </w:rPr>
  </w:style>
  <w:style w:type="character" w:customStyle="1" w:styleId="57">
    <w:name w:val="fontstyle01"/>
    <w:basedOn w:val="22"/>
    <w:qFormat/>
    <w:uiPriority w:val="0"/>
    <w:rPr>
      <w:rFonts w:hint="eastAsia" w:ascii="宋体" w:hAnsi="宋体" w:eastAsia="宋体" w:cs="宋体"/>
      <w:color w:val="000000"/>
      <w:sz w:val="24"/>
      <w:szCs w:val="24"/>
    </w:rPr>
  </w:style>
  <w:style w:type="paragraph" w:customStyle="1" w:styleId="58">
    <w:name w:val="报告表正文"/>
    <w:basedOn w:val="1"/>
    <w:qFormat/>
    <w:uiPriority w:val="0"/>
    <w:pPr>
      <w:adjustRightInd w:val="0"/>
      <w:spacing w:line="312" w:lineRule="auto"/>
      <w:ind w:left="113" w:right="113" w:firstLine="482"/>
      <w:jc w:val="left"/>
      <w:textAlignment w:val="baseline"/>
    </w:pPr>
    <w:rPr>
      <w:kern w:val="0"/>
      <w:sz w:val="24"/>
      <w:szCs w:val="20"/>
    </w:rPr>
  </w:style>
  <w:style w:type="paragraph" w:customStyle="1" w:styleId="59">
    <w:name w:val="正文00"/>
    <w:qFormat/>
    <w:uiPriority w:val="0"/>
    <w:pPr>
      <w:overflowPunct w:val="0"/>
      <w:topLinePunct/>
      <w:adjustRightInd w:val="0"/>
      <w:snapToGrid w:val="0"/>
      <w:spacing w:line="360" w:lineRule="auto"/>
      <w:ind w:firstLine="200" w:firstLineChars="200"/>
      <w:jc w:val="both"/>
    </w:pPr>
    <w:rPr>
      <w:rFonts w:ascii="Times New Roman" w:hAnsi="Times New Roman" w:eastAsia="宋体" w:cs="Times New Roman"/>
      <w:color w:val="000000"/>
      <w:kern w:val="2"/>
      <w:sz w:val="24"/>
      <w:szCs w:val="24"/>
      <w:lang w:val="en-US" w:eastAsia="zh-CN" w:bidi="ar-SA"/>
    </w:rPr>
  </w:style>
  <w:style w:type="paragraph" w:customStyle="1" w:styleId="60">
    <w:name w:val="1表格标题"/>
    <w:qFormat/>
    <w:uiPriority w:val="0"/>
    <w:pPr>
      <w:adjustRightInd w:val="0"/>
      <w:snapToGrid w:val="0"/>
      <w:spacing w:before="50" w:beforeLines="50"/>
      <w:jc w:val="center"/>
    </w:pPr>
    <w:rPr>
      <w:rFonts w:ascii="Times New Roman" w:hAnsi="Times New Roman" w:eastAsia="仿宋" w:cs="Times New Roman"/>
      <w:b/>
      <w:bCs/>
      <w:snapToGrid w:val="0"/>
      <w:sz w:val="21"/>
      <w:szCs w:val="21"/>
      <w:lang w:val="en-US" w:eastAsia="zh-CN" w:bidi="ar-SA"/>
    </w:rPr>
  </w:style>
  <w:style w:type="paragraph" w:customStyle="1" w:styleId="61">
    <w:name w:val="正文01"/>
    <w:basedOn w:val="1"/>
    <w:qFormat/>
    <w:uiPriority w:val="0"/>
    <w:pPr>
      <w:spacing w:before="60" w:line="460" w:lineRule="exact"/>
      <w:ind w:firstLine="200" w:firstLineChars="200"/>
    </w:pPr>
    <w:rPr>
      <w:kern w:val="0"/>
      <w:sz w:val="24"/>
      <w:szCs w:val="20"/>
    </w:rPr>
  </w:style>
  <w:style w:type="paragraph" w:customStyle="1" w:styleId="62">
    <w:name w:val="样式5"/>
    <w:basedOn w:val="1"/>
    <w:qFormat/>
    <w:uiPriority w:val="0"/>
    <w:pPr>
      <w:adjustRightInd w:val="0"/>
      <w:snapToGrid w:val="0"/>
      <w:spacing w:line="480" w:lineRule="exact"/>
      <w:ind w:firstLine="200" w:firstLineChars="200"/>
    </w:pPr>
    <w:rPr>
      <w:sz w:val="26"/>
      <w:szCs w:val="26"/>
    </w:rPr>
  </w:style>
  <w:style w:type="paragraph" w:customStyle="1" w:styleId="63">
    <w:name w:val="正文-蓝色"/>
    <w:basedOn w:val="1"/>
    <w:qFormat/>
    <w:uiPriority w:val="0"/>
    <w:pPr>
      <w:spacing w:line="360" w:lineRule="auto"/>
      <w:ind w:firstLine="200" w:firstLineChars="200"/>
    </w:pPr>
    <w:rPr>
      <w:rFonts w:ascii="Calibri" w:hAnsi="Calibri"/>
      <w:color w:val="FF0000"/>
      <w:kern w:val="0"/>
      <w:sz w:val="24"/>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0.wmf"/><Relationship Id="rId35" Type="http://schemas.openxmlformats.org/officeDocument/2006/relationships/oleObject" Target="embeddings/oleObject10.bin"/><Relationship Id="rId34" Type="http://schemas.openxmlformats.org/officeDocument/2006/relationships/image" Target="media/image19.wmf"/><Relationship Id="rId33" Type="http://schemas.openxmlformats.org/officeDocument/2006/relationships/oleObject" Target="embeddings/oleObject9.bin"/><Relationship Id="rId32" Type="http://schemas.openxmlformats.org/officeDocument/2006/relationships/image" Target="media/image18.emf"/><Relationship Id="rId31" Type="http://schemas.openxmlformats.org/officeDocument/2006/relationships/oleObject" Target="embeddings/oleObject8.bin"/><Relationship Id="rId30" Type="http://schemas.openxmlformats.org/officeDocument/2006/relationships/image" Target="media/image17.wmf"/><Relationship Id="rId3" Type="http://schemas.openxmlformats.org/officeDocument/2006/relationships/footer" Target="footer1.xml"/><Relationship Id="rId29" Type="http://schemas.openxmlformats.org/officeDocument/2006/relationships/oleObject" Target="embeddings/oleObject7.bin"/><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oleObject" Target="embeddings/oleObject6.bin"/><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emf"/><Relationship Id="rId22" Type="http://schemas.openxmlformats.org/officeDocument/2006/relationships/oleObject" Target="embeddings/oleObject5.bin"/><Relationship Id="rId21" Type="http://schemas.openxmlformats.org/officeDocument/2006/relationships/image" Target="media/image11.png"/><Relationship Id="rId20" Type="http://schemas.openxmlformats.org/officeDocument/2006/relationships/image" Target="media/image10.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9.png"/><Relationship Id="rId17" Type="http://schemas.openxmlformats.org/officeDocument/2006/relationships/image" Target="media/image8.emf"/><Relationship Id="rId16" Type="http://schemas.openxmlformats.org/officeDocument/2006/relationships/oleObject" Target="embeddings/oleObject3.bin"/><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oleObject" Target="embeddings/oleObject2.bin"/><Relationship Id="rId12" Type="http://schemas.openxmlformats.org/officeDocument/2006/relationships/image" Target="media/image5.emf"/><Relationship Id="rId11" Type="http://schemas.openxmlformats.org/officeDocument/2006/relationships/oleObject" Target="embeddings/oleObject1.bin"/><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103</Pages>
  <Words>20024</Words>
  <Characters>21424</Characters>
  <Lines>380</Lines>
  <Paragraphs>107</Paragraphs>
  <TotalTime>27</TotalTime>
  <ScaleCrop>false</ScaleCrop>
  <LinksUpToDate>false</LinksUpToDate>
  <CharactersWithSpaces>21508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2022-03-13T08:38:00Z</dcterms:created>
  <dc:creator>Administrator</dc:creator>
  <cp:lastModifiedBy>哈哈*^o^*</cp:lastModifiedBy>
  <dcterms:modified xsi:type="dcterms:W3CDTF">2025-05-13T01:15:31Z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183CD2BDDB0041F798A12EBAD7A7B77D</vt:lpwstr>
  </property>
  <property fmtid="{D5CDD505-2E9C-101B-9397-08002B2CF9AE}" pid="4" name="KSOTemplateDocerSaveRecord">
    <vt:lpwstr>eyJoZGlkIjoiMDdiZjhmMDZlNWE1ZTIzNmY0N2FiYWQzNGRiMjI4ODMiLCJ1c2VySWQiOiI0MjA0MDUyMDgifQ==</vt:lpwstr>
  </property>
</Properties>
</file>